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CB955" w14:textId="77777777" w:rsidR="001A3A71" w:rsidRDefault="001A3A71"/>
    <w:p w14:paraId="315DFDE6" w14:textId="77777777" w:rsidR="00732885" w:rsidRDefault="00732885"/>
    <w:p w14:paraId="5C21BB15" w14:textId="77777777" w:rsidR="00732885" w:rsidRDefault="00732885" w:rsidP="00732885">
      <w:pPr>
        <w:pStyle w:val="Naslov1"/>
        <w:spacing w:before="81"/>
        <w:ind w:right="1165"/>
        <w:rPr>
          <w:color w:val="2F2F2F"/>
        </w:rPr>
      </w:pPr>
    </w:p>
    <w:p w14:paraId="5F9D5DC1" w14:textId="03DCB20D" w:rsidR="00732885" w:rsidRPr="00AE3E32" w:rsidRDefault="00732885" w:rsidP="00AE3E32">
      <w:pPr>
        <w:pStyle w:val="Naslov1"/>
        <w:spacing w:before="81"/>
        <w:ind w:right="425"/>
        <w:rPr>
          <w:b w:val="0"/>
          <w:bCs w:val="0"/>
          <w:sz w:val="24"/>
          <w:szCs w:val="24"/>
        </w:rPr>
      </w:pPr>
      <w:r w:rsidRPr="00732885">
        <w:rPr>
          <w:color w:val="2F2F2F"/>
          <w:sz w:val="24"/>
          <w:szCs w:val="24"/>
        </w:rPr>
        <w:t xml:space="preserve">Priprava poročanja </w:t>
      </w:r>
      <w:r w:rsidR="00AC4266">
        <w:rPr>
          <w:color w:val="2F2F2F"/>
          <w:sz w:val="24"/>
          <w:szCs w:val="24"/>
        </w:rPr>
        <w:t>ITS_</w:t>
      </w:r>
      <w:r w:rsidRPr="00732885">
        <w:rPr>
          <w:color w:val="2F2F2F"/>
          <w:sz w:val="24"/>
          <w:szCs w:val="24"/>
        </w:rPr>
        <w:t>IPR</w:t>
      </w:r>
      <w:r w:rsidR="00AE3E32">
        <w:rPr>
          <w:color w:val="2F2F2F"/>
          <w:sz w:val="24"/>
          <w:szCs w:val="24"/>
        </w:rPr>
        <w:t xml:space="preserve">: </w:t>
      </w:r>
      <w:r w:rsidR="00AE3E32" w:rsidRPr="00AE3E32">
        <w:rPr>
          <w:b w:val="0"/>
          <w:bCs w:val="0"/>
          <w:color w:val="2F2F2F"/>
          <w:sz w:val="24"/>
          <w:szCs w:val="24"/>
        </w:rPr>
        <w:t xml:space="preserve">Poročanje podatkov o ravni nadomestil za kreditne  prenose/ takojšnje kreditne prenose in plačilne račune ter </w:t>
      </w:r>
      <w:r w:rsidR="00E072A5">
        <w:rPr>
          <w:b w:val="0"/>
          <w:bCs w:val="0"/>
          <w:color w:val="2F2F2F"/>
          <w:sz w:val="24"/>
          <w:szCs w:val="24"/>
        </w:rPr>
        <w:t xml:space="preserve">o </w:t>
      </w:r>
      <w:r w:rsidR="00AE3E32" w:rsidRPr="00AE3E32">
        <w:rPr>
          <w:b w:val="0"/>
          <w:bCs w:val="0"/>
          <w:color w:val="2F2F2F"/>
          <w:sz w:val="24"/>
          <w:szCs w:val="24"/>
        </w:rPr>
        <w:t>deležu zavrnitev transakcij zaradi ciljno usmerjenih finančnih omejevalnih ukrepov</w:t>
      </w:r>
    </w:p>
    <w:p w14:paraId="3322AC8D" w14:textId="77777777" w:rsidR="00732885" w:rsidRPr="00AE3E32" w:rsidRDefault="00732885" w:rsidP="00732885">
      <w:pPr>
        <w:pStyle w:val="Telobesedila"/>
        <w:spacing w:before="3"/>
        <w:rPr>
          <w:sz w:val="20"/>
        </w:rPr>
      </w:pPr>
    </w:p>
    <w:p w14:paraId="26B2646F" w14:textId="77777777" w:rsidR="00E072A5" w:rsidRDefault="00E072A5" w:rsidP="00732885">
      <w:pPr>
        <w:pStyle w:val="Telobesedila"/>
        <w:spacing w:before="3"/>
        <w:rPr>
          <w:bCs/>
          <w:sz w:val="20"/>
        </w:rPr>
      </w:pPr>
    </w:p>
    <w:p w14:paraId="7D32E07B" w14:textId="3281554E" w:rsidR="00732885" w:rsidRPr="00AC4266" w:rsidRDefault="00732885" w:rsidP="00732885">
      <w:pPr>
        <w:pStyle w:val="Telobesedila"/>
        <w:spacing w:before="3"/>
        <w:rPr>
          <w:bCs/>
          <w:sz w:val="20"/>
        </w:rPr>
      </w:pPr>
      <w:r w:rsidRPr="00AE3E32">
        <w:rPr>
          <w:bCs/>
          <w:sz w:val="20"/>
        </w:rPr>
        <w:t>Vprašanja in odgovori</w:t>
      </w:r>
      <w:r w:rsidRPr="00AE3E32">
        <w:rPr>
          <w:bCs/>
          <w:i/>
          <w:iCs/>
          <w:sz w:val="20"/>
        </w:rPr>
        <w:t xml:space="preserve">, </w:t>
      </w:r>
      <w:r w:rsidR="00855D6C" w:rsidRPr="00AE3E32">
        <w:rPr>
          <w:bCs/>
          <w:i/>
          <w:iCs/>
          <w:sz w:val="20"/>
        </w:rPr>
        <w:t>2.10.2025</w:t>
      </w:r>
    </w:p>
    <w:p w14:paraId="677E6FC1" w14:textId="77777777" w:rsidR="00732885" w:rsidRPr="00732885" w:rsidRDefault="00732885" w:rsidP="00732885">
      <w:pPr>
        <w:pStyle w:val="Telobesedila"/>
        <w:spacing w:before="3"/>
        <w:rPr>
          <w:bCs/>
          <w:sz w:val="20"/>
        </w:rPr>
      </w:pPr>
    </w:p>
    <w:p w14:paraId="1AB6D914" w14:textId="77777777" w:rsidR="00732885" w:rsidRPr="00732885" w:rsidRDefault="00732885" w:rsidP="00732885">
      <w:pPr>
        <w:pStyle w:val="Telobesedila"/>
        <w:spacing w:before="3"/>
        <w:rPr>
          <w:bCs/>
          <w:sz w:val="20"/>
        </w:rPr>
      </w:pPr>
    </w:p>
    <w:p w14:paraId="2541BC59" w14:textId="064802D2" w:rsidR="00732885" w:rsidRPr="00FF58EE" w:rsidRDefault="00732885" w:rsidP="0088738F">
      <w:pPr>
        <w:pStyle w:val="Telobesedila"/>
        <w:numPr>
          <w:ilvl w:val="0"/>
          <w:numId w:val="1"/>
        </w:numPr>
        <w:spacing w:before="3"/>
        <w:ind w:left="0" w:firstLine="0"/>
        <w:rPr>
          <w:bCs/>
          <w:sz w:val="20"/>
        </w:rPr>
      </w:pPr>
      <w:r w:rsidRPr="00FF58EE">
        <w:rPr>
          <w:bCs/>
          <w:sz w:val="20"/>
        </w:rPr>
        <w:t>EBA je pojasnila, da se "denarna nakazila" ne poročajo v okviru IPR. Zanima nas ali se med denarna nakazila uvrščajo tudi plačila z gotovino v trgovini (</w:t>
      </w:r>
      <w:r w:rsidR="00FF58EE" w:rsidRPr="00FF58EE">
        <w:rPr>
          <w:bCs/>
          <w:sz w:val="20"/>
        </w:rPr>
        <w:t>primer</w:t>
      </w:r>
      <w:r w:rsidRPr="00FF58EE">
        <w:rPr>
          <w:bCs/>
          <w:sz w:val="20"/>
        </w:rPr>
        <w:t xml:space="preserve"> Mercator)</w:t>
      </w:r>
      <w:r w:rsidR="00FF58EE" w:rsidRPr="00FF58EE">
        <w:rPr>
          <w:bCs/>
          <w:sz w:val="20"/>
        </w:rPr>
        <w:t xml:space="preserve"> </w:t>
      </w:r>
      <w:r w:rsidR="00FF58EE">
        <w:rPr>
          <w:bCs/>
          <w:sz w:val="20"/>
        </w:rPr>
        <w:t>za namen</w:t>
      </w:r>
      <w:r w:rsidR="00FF58EE" w:rsidRPr="00FF58EE">
        <w:rPr>
          <w:bCs/>
          <w:sz w:val="20"/>
        </w:rPr>
        <w:t xml:space="preserve"> za </w:t>
      </w:r>
      <w:r w:rsidRPr="00FF58EE">
        <w:rPr>
          <w:bCs/>
          <w:sz w:val="20"/>
        </w:rPr>
        <w:t>plačila elektrike</w:t>
      </w:r>
      <w:r w:rsidR="00FF58EE" w:rsidRPr="00FF58EE">
        <w:rPr>
          <w:bCs/>
          <w:sz w:val="20"/>
        </w:rPr>
        <w:t xml:space="preserve"> in drugih gospodinjskih </w:t>
      </w:r>
      <w:r w:rsidR="00FF58EE">
        <w:rPr>
          <w:bCs/>
          <w:sz w:val="20"/>
        </w:rPr>
        <w:t>računov?</w:t>
      </w:r>
    </w:p>
    <w:p w14:paraId="73114DA5" w14:textId="6F19CE2A" w:rsidR="00FF58EE" w:rsidRPr="00FF58EE" w:rsidRDefault="00FF58EE" w:rsidP="00FF58EE">
      <w:pPr>
        <w:pStyle w:val="Telobesedila"/>
        <w:spacing w:before="3"/>
        <w:rPr>
          <w:bCs/>
          <w:color w:val="0070C0"/>
          <w:sz w:val="20"/>
        </w:rPr>
      </w:pPr>
      <w:r w:rsidRPr="00FF58EE">
        <w:rPr>
          <w:bCs/>
          <w:color w:val="0070C0"/>
          <w:sz w:val="20"/>
          <w:u w:val="single"/>
        </w:rPr>
        <w:t>Odgovor BS</w:t>
      </w:r>
      <w:r w:rsidRPr="00FF58EE">
        <w:rPr>
          <w:bCs/>
          <w:color w:val="0070C0"/>
          <w:sz w:val="20"/>
        </w:rPr>
        <w:t>: Opisana plačila</w:t>
      </w:r>
      <w:r>
        <w:rPr>
          <w:bCs/>
          <w:color w:val="0070C0"/>
          <w:sz w:val="20"/>
        </w:rPr>
        <w:t xml:space="preserve"> z</w:t>
      </w:r>
      <w:r w:rsidRPr="00FF58EE">
        <w:rPr>
          <w:bCs/>
          <w:color w:val="0070C0"/>
          <w:sz w:val="20"/>
        </w:rPr>
        <w:t xml:space="preserve"> gotovino v trgovini (primer Mercator) </w:t>
      </w:r>
      <w:r w:rsidR="004A013B">
        <w:rPr>
          <w:bCs/>
          <w:color w:val="0070C0"/>
          <w:sz w:val="20"/>
        </w:rPr>
        <w:t xml:space="preserve">za namene plačila elektrike in nekaterih gospodinjskih stroškov </w:t>
      </w:r>
      <w:r w:rsidRPr="00FF58EE">
        <w:rPr>
          <w:bCs/>
          <w:color w:val="0070C0"/>
          <w:sz w:val="20"/>
        </w:rPr>
        <w:t>se uvrščajo med denqrna nakazila.</w:t>
      </w:r>
    </w:p>
    <w:p w14:paraId="641812CA" w14:textId="77777777" w:rsidR="00FF58EE" w:rsidRDefault="00FF58EE" w:rsidP="00FF58EE">
      <w:pPr>
        <w:pStyle w:val="Telobesedila"/>
        <w:spacing w:before="3"/>
        <w:rPr>
          <w:bCs/>
          <w:color w:val="0070C0"/>
          <w:sz w:val="20"/>
        </w:rPr>
      </w:pPr>
    </w:p>
    <w:p w14:paraId="6E8E4C3B" w14:textId="77777777" w:rsidR="00FF58EE" w:rsidRPr="00FF58EE" w:rsidRDefault="00FF58EE" w:rsidP="00FF58EE">
      <w:pPr>
        <w:pStyle w:val="Odstavekseznama"/>
        <w:numPr>
          <w:ilvl w:val="0"/>
          <w:numId w:val="2"/>
        </w:numPr>
        <w:rPr>
          <w:b/>
          <w:bCs/>
          <w:i/>
          <w:iCs/>
          <w:color w:val="0070C0"/>
          <w:sz w:val="18"/>
          <w:szCs w:val="18"/>
        </w:rPr>
      </w:pPr>
      <w:r w:rsidRPr="00FF58EE">
        <w:rPr>
          <w:b/>
          <w:bCs/>
          <w:i/>
          <w:iCs/>
          <w:color w:val="0070C0"/>
          <w:sz w:val="18"/>
          <w:szCs w:val="18"/>
        </w:rPr>
        <w:t>iz Direktive 2015/2366, recital 9</w:t>
      </w:r>
    </w:p>
    <w:p w14:paraId="1CA178A4" w14:textId="1CDC77E1" w:rsidR="00FF58EE" w:rsidRDefault="00FF58EE" w:rsidP="00FF58EE">
      <w:pPr>
        <w:pStyle w:val="Telobesedila"/>
        <w:spacing w:before="3"/>
        <w:rPr>
          <w:bCs/>
          <w:color w:val="0070C0"/>
          <w:sz w:val="20"/>
        </w:rPr>
      </w:pPr>
      <w:r>
        <w:rPr>
          <w:noProof/>
        </w:rPr>
        <w:drawing>
          <wp:inline distT="0" distB="0" distL="0" distR="0" wp14:anchorId="27FB7A75" wp14:editId="1F2D0318">
            <wp:extent cx="6283960" cy="1212215"/>
            <wp:effectExtent l="0" t="0" r="0" b="0"/>
            <wp:docPr id="197440861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3960" cy="121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2261D8" w14:textId="77777777" w:rsidR="00F316BF" w:rsidRDefault="00F316BF" w:rsidP="006A6E0A">
      <w:pPr>
        <w:pStyle w:val="Telobesedila"/>
        <w:spacing w:before="3"/>
        <w:ind w:left="360"/>
        <w:rPr>
          <w:bCs/>
          <w:sz w:val="20"/>
        </w:rPr>
      </w:pPr>
    </w:p>
    <w:p w14:paraId="2A58BAD5" w14:textId="77777777" w:rsidR="00AC4266" w:rsidRDefault="00AC4266" w:rsidP="006A6E0A">
      <w:pPr>
        <w:pStyle w:val="Telobesedila"/>
        <w:spacing w:before="3"/>
        <w:ind w:left="360"/>
        <w:rPr>
          <w:bCs/>
          <w:sz w:val="20"/>
        </w:rPr>
      </w:pPr>
    </w:p>
    <w:p w14:paraId="7E2EE0D5" w14:textId="602CCF45" w:rsidR="00F316BF" w:rsidRPr="006A6E0A" w:rsidRDefault="006A6E0A" w:rsidP="006A6E0A">
      <w:pPr>
        <w:pStyle w:val="Odstavekseznama"/>
        <w:numPr>
          <w:ilvl w:val="0"/>
          <w:numId w:val="1"/>
        </w:numPr>
        <w:ind w:left="0" w:firstLine="0"/>
      </w:pPr>
      <w:r w:rsidRPr="006A6E0A">
        <w:t>Kam naj uvrstimo plačilo z gotovino v banki na bančnem okencu npr. za najem apartmaja na račun prejemnika v EU?</w:t>
      </w:r>
    </w:p>
    <w:p w14:paraId="5B591E9A" w14:textId="77777777" w:rsidR="006A6E0A" w:rsidRPr="006A6E0A" w:rsidRDefault="006A6E0A" w:rsidP="006A6E0A">
      <w:pPr>
        <w:rPr>
          <w:color w:val="0070C0"/>
        </w:rPr>
      </w:pPr>
      <w:r w:rsidRPr="006A6E0A">
        <w:rPr>
          <w:color w:val="0070C0"/>
          <w:u w:val="single"/>
        </w:rPr>
        <w:t>Odgovor BS</w:t>
      </w:r>
      <w:r w:rsidRPr="006A6E0A">
        <w:rPr>
          <w:color w:val="0070C0"/>
        </w:rPr>
        <w:t xml:space="preserve">:  Za točen odgovor bi potrebovali nekoliko več podrobnosti. </w:t>
      </w:r>
    </w:p>
    <w:p w14:paraId="04F7D3B7" w14:textId="01C35854" w:rsidR="006A6E0A" w:rsidRPr="006A6E0A" w:rsidRDefault="006A6E0A" w:rsidP="006A6E0A">
      <w:pPr>
        <w:rPr>
          <w:color w:val="0070C0"/>
        </w:rPr>
      </w:pPr>
      <w:r w:rsidRPr="006A6E0A">
        <w:rPr>
          <w:color w:val="0070C0"/>
        </w:rPr>
        <w:t>V kolikor gre za denarno nakazilo, plačnik ali prejemnik plačila ne potrebuje računa pri banki za to da bi prenesel/</w:t>
      </w:r>
      <w:r>
        <w:rPr>
          <w:color w:val="0070C0"/>
        </w:rPr>
        <w:t xml:space="preserve"> </w:t>
      </w:r>
      <w:r w:rsidRPr="006A6E0A">
        <w:rPr>
          <w:color w:val="0070C0"/>
        </w:rPr>
        <w:t xml:space="preserve">prejel sredstva za/od prejemnika plačila/plačnika. </w:t>
      </w:r>
    </w:p>
    <w:p w14:paraId="3281B7D2" w14:textId="77777777" w:rsidR="006A6E0A" w:rsidRPr="006A6E0A" w:rsidRDefault="006A6E0A" w:rsidP="006A6E0A">
      <w:pPr>
        <w:rPr>
          <w:color w:val="0070C0"/>
        </w:rPr>
      </w:pPr>
      <w:r w:rsidRPr="006A6E0A">
        <w:rPr>
          <w:color w:val="0070C0"/>
        </w:rPr>
        <w:t>V kolikor gre za denarno nakazilo tudi način, na katerega banke prenese sredstva prejemniku plačila, prejemniku verjetno ni znan.</w:t>
      </w:r>
    </w:p>
    <w:p w14:paraId="03D81654" w14:textId="7891043F" w:rsidR="006A6E0A" w:rsidRPr="006A6E0A" w:rsidRDefault="006A6E0A" w:rsidP="006A6E0A">
      <w:pPr>
        <w:rPr>
          <w:color w:val="0070C0"/>
        </w:rPr>
      </w:pPr>
      <w:r w:rsidRPr="006A6E0A">
        <w:rPr>
          <w:color w:val="0070C0"/>
        </w:rPr>
        <w:t xml:space="preserve">V kolikor pa gre za kreditno plačilo, mora plačnik avtorizirati (odrediti) plačilni nalog – kreditno plačilo. </w:t>
      </w:r>
      <w:r w:rsidR="00931D69">
        <w:rPr>
          <w:color w:val="0070C0"/>
        </w:rPr>
        <w:t>P</w:t>
      </w:r>
      <w:r>
        <w:rPr>
          <w:color w:val="0070C0"/>
        </w:rPr>
        <w:t>o</w:t>
      </w:r>
      <w:r w:rsidRPr="006A6E0A">
        <w:rPr>
          <w:color w:val="0070C0"/>
        </w:rPr>
        <w:t>ročevalec</w:t>
      </w:r>
      <w:r w:rsidR="00931D69">
        <w:rPr>
          <w:color w:val="0070C0"/>
        </w:rPr>
        <w:t xml:space="preserve"> </w:t>
      </w:r>
      <w:r w:rsidRPr="006A6E0A">
        <w:rPr>
          <w:color w:val="0070C0"/>
        </w:rPr>
        <w:t xml:space="preserve">- v tem primeru banka naj bi tako razpolagala z informacijami, s kakšnim plačilnim instrumentom je bilo dejansko izvedeno dotično plačilo. </w:t>
      </w:r>
    </w:p>
    <w:p w14:paraId="41143D02" w14:textId="77777777" w:rsidR="00F316BF" w:rsidRDefault="00F316BF" w:rsidP="00732885">
      <w:pPr>
        <w:pStyle w:val="Telobesedila"/>
        <w:spacing w:before="3"/>
        <w:rPr>
          <w:bCs/>
          <w:sz w:val="20"/>
        </w:rPr>
      </w:pPr>
    </w:p>
    <w:p w14:paraId="5B9A04C1" w14:textId="77777777" w:rsidR="00F316BF" w:rsidRPr="00732885" w:rsidRDefault="00F316BF" w:rsidP="00732885">
      <w:pPr>
        <w:pStyle w:val="Telobesedila"/>
        <w:spacing w:before="3"/>
        <w:rPr>
          <w:bCs/>
          <w:sz w:val="20"/>
        </w:rPr>
      </w:pPr>
    </w:p>
    <w:p w14:paraId="46BB83D3" w14:textId="227C9297" w:rsidR="00732885" w:rsidRPr="00732885" w:rsidRDefault="00FF58EE" w:rsidP="00732885">
      <w:pPr>
        <w:pStyle w:val="Telobesedila"/>
        <w:spacing w:before="3"/>
        <w:rPr>
          <w:bCs/>
          <w:sz w:val="20"/>
        </w:rPr>
      </w:pPr>
      <w:r>
        <w:rPr>
          <w:bCs/>
          <w:sz w:val="20"/>
        </w:rPr>
        <w:t xml:space="preserve"> </w:t>
      </w:r>
    </w:p>
    <w:p w14:paraId="478A0328" w14:textId="0329EA03" w:rsidR="00732885" w:rsidRDefault="00212A75" w:rsidP="00212A75">
      <w:pPr>
        <w:pStyle w:val="Telobesedila"/>
        <w:numPr>
          <w:ilvl w:val="0"/>
          <w:numId w:val="1"/>
        </w:numPr>
        <w:spacing w:before="3"/>
        <w:ind w:left="0" w:firstLine="0"/>
        <w:rPr>
          <w:bCs/>
          <w:sz w:val="20"/>
        </w:rPr>
      </w:pPr>
      <w:r>
        <w:rPr>
          <w:bCs/>
          <w:sz w:val="20"/>
        </w:rPr>
        <w:t>Ali naj bo poročanje vključeni tudi podatki bank, ki ne obstajajo več</w:t>
      </w:r>
      <w:r w:rsidR="00931D69">
        <w:rPr>
          <w:bCs/>
          <w:sz w:val="20"/>
        </w:rPr>
        <w:t xml:space="preserve"> (</w:t>
      </w:r>
      <w:r w:rsidR="00855D6C">
        <w:rPr>
          <w:bCs/>
          <w:sz w:val="20"/>
        </w:rPr>
        <w:t xml:space="preserve">primer: </w:t>
      </w:r>
      <w:r w:rsidR="00931D69">
        <w:rPr>
          <w:bCs/>
          <w:sz w:val="20"/>
        </w:rPr>
        <w:t>SKB, Nbanka….)</w:t>
      </w:r>
      <w:r>
        <w:rPr>
          <w:bCs/>
          <w:sz w:val="20"/>
        </w:rPr>
        <w:t xml:space="preserve">? </w:t>
      </w:r>
    </w:p>
    <w:p w14:paraId="293AA651" w14:textId="6E5CE72F" w:rsidR="00212A75" w:rsidRDefault="00212A75" w:rsidP="00212A75">
      <w:pPr>
        <w:pStyle w:val="Telobesedila"/>
        <w:spacing w:before="3"/>
        <w:rPr>
          <w:bCs/>
          <w:color w:val="0070C0"/>
          <w:sz w:val="20"/>
        </w:rPr>
      </w:pPr>
      <w:r w:rsidRPr="00FF58EE">
        <w:rPr>
          <w:bCs/>
          <w:color w:val="0070C0"/>
          <w:sz w:val="20"/>
          <w:u w:val="single"/>
        </w:rPr>
        <w:t>Odgovor BS</w:t>
      </w:r>
      <w:r w:rsidRPr="00FF58EE">
        <w:rPr>
          <w:bCs/>
          <w:color w:val="0070C0"/>
          <w:sz w:val="20"/>
        </w:rPr>
        <w:t xml:space="preserve">: </w:t>
      </w:r>
      <w:r>
        <w:rPr>
          <w:bCs/>
          <w:color w:val="0070C0"/>
          <w:sz w:val="20"/>
        </w:rPr>
        <w:t>Podatkov ponudnikov plačilnih storitev, ki ne obstajajo več</w:t>
      </w:r>
      <w:r w:rsidR="00931D69">
        <w:rPr>
          <w:bCs/>
          <w:color w:val="0070C0"/>
          <w:sz w:val="20"/>
        </w:rPr>
        <w:t>,</w:t>
      </w:r>
      <w:r>
        <w:rPr>
          <w:bCs/>
          <w:color w:val="0070C0"/>
          <w:sz w:val="20"/>
        </w:rPr>
        <w:t xml:space="preserve"> ni potrebno vključiti v poročanje.</w:t>
      </w:r>
    </w:p>
    <w:p w14:paraId="5FA8EFE8" w14:textId="77777777" w:rsidR="00212A75" w:rsidRDefault="00212A75" w:rsidP="00212A75">
      <w:pPr>
        <w:pStyle w:val="Telobesedila"/>
        <w:spacing w:before="3"/>
        <w:rPr>
          <w:bCs/>
          <w:color w:val="0070C0"/>
          <w:sz w:val="20"/>
        </w:rPr>
      </w:pPr>
    </w:p>
    <w:p w14:paraId="24CF8552" w14:textId="77777777" w:rsidR="00AC4266" w:rsidRDefault="00AC4266" w:rsidP="00212A75">
      <w:pPr>
        <w:pStyle w:val="Telobesedila"/>
        <w:spacing w:before="3"/>
        <w:rPr>
          <w:bCs/>
          <w:color w:val="0070C0"/>
          <w:sz w:val="20"/>
        </w:rPr>
      </w:pPr>
    </w:p>
    <w:p w14:paraId="32E298AF" w14:textId="77777777" w:rsidR="00212A75" w:rsidRDefault="00212A75" w:rsidP="00212A75">
      <w:pPr>
        <w:pStyle w:val="Telobesedila"/>
        <w:spacing w:before="3"/>
        <w:rPr>
          <w:bCs/>
          <w:color w:val="0070C0"/>
          <w:sz w:val="20"/>
        </w:rPr>
      </w:pPr>
    </w:p>
    <w:p w14:paraId="04226F43" w14:textId="0A1AA76C" w:rsidR="00212A75" w:rsidRPr="0088738F" w:rsidRDefault="00212A75" w:rsidP="00212A75">
      <w:pPr>
        <w:pStyle w:val="Telobesedila"/>
        <w:numPr>
          <w:ilvl w:val="0"/>
          <w:numId w:val="1"/>
        </w:numPr>
        <w:spacing w:before="3"/>
        <w:ind w:left="0" w:firstLine="0"/>
        <w:jc w:val="both"/>
        <w:rPr>
          <w:bCs/>
          <w:color w:val="000000" w:themeColor="text1"/>
          <w:sz w:val="20"/>
          <w:szCs w:val="20"/>
        </w:rPr>
      </w:pPr>
      <w:r w:rsidRPr="0088738F">
        <w:rPr>
          <w:bCs/>
          <w:color w:val="000000" w:themeColor="text1"/>
          <w:sz w:val="20"/>
          <w:szCs w:val="20"/>
        </w:rPr>
        <w:t>Ali plačilo smatramo kot IP plačilo samo v primeru, če je bilo s strani stranke odrejeno kot IP plačilo ali k IP plačilom uvrščamo tudi  preusmerjena plačila ? Gre za plačila, ki jih je stranka odredila kot navadno kreditno plačilo in smo jih banke v prehodnem obdobju migracije na takojšnja plačila preusmerjale v sistem takojšnih plačil.</w:t>
      </w:r>
    </w:p>
    <w:p w14:paraId="38130A13" w14:textId="6A7EF8E9" w:rsidR="00212A75" w:rsidRPr="0088738F" w:rsidRDefault="00212A75" w:rsidP="00212A75">
      <w:pPr>
        <w:pStyle w:val="Telobesedila"/>
        <w:spacing w:before="3"/>
        <w:rPr>
          <w:bCs/>
          <w:color w:val="0070C0"/>
          <w:sz w:val="20"/>
          <w:szCs w:val="20"/>
        </w:rPr>
      </w:pPr>
      <w:r w:rsidRPr="0088738F">
        <w:rPr>
          <w:bCs/>
          <w:color w:val="0070C0"/>
          <w:sz w:val="20"/>
          <w:szCs w:val="20"/>
          <w:u w:val="single"/>
        </w:rPr>
        <w:t>Odgovor BS</w:t>
      </w:r>
      <w:r w:rsidRPr="0088738F">
        <w:rPr>
          <w:bCs/>
          <w:color w:val="0070C0"/>
          <w:sz w:val="20"/>
          <w:szCs w:val="20"/>
        </w:rPr>
        <w:t xml:space="preserve">: Kriterij za klasifikacijo transakcije je način kako je bilo plačilo </w:t>
      </w:r>
      <w:r w:rsidR="000B00D7">
        <w:rPr>
          <w:bCs/>
          <w:color w:val="0070C0"/>
          <w:sz w:val="20"/>
          <w:szCs w:val="20"/>
        </w:rPr>
        <w:t xml:space="preserve">dejansko </w:t>
      </w:r>
      <w:r w:rsidRPr="0088738F">
        <w:rPr>
          <w:bCs/>
          <w:color w:val="0070C0"/>
          <w:sz w:val="20"/>
          <w:szCs w:val="20"/>
        </w:rPr>
        <w:t>izvedeno. V kolikor je bilo izvedeno kot takojšnje plačilo, se kot tako tudi poroča.</w:t>
      </w:r>
    </w:p>
    <w:p w14:paraId="4D763F3D" w14:textId="77777777" w:rsidR="00212A75" w:rsidRPr="0088738F" w:rsidRDefault="00212A75" w:rsidP="00212A75">
      <w:pPr>
        <w:pStyle w:val="Telobesedila"/>
        <w:spacing w:before="3"/>
        <w:rPr>
          <w:bCs/>
          <w:color w:val="0070C0"/>
          <w:sz w:val="20"/>
          <w:szCs w:val="20"/>
        </w:rPr>
      </w:pPr>
    </w:p>
    <w:p w14:paraId="4C64D3D0" w14:textId="77777777" w:rsidR="00212A75" w:rsidRPr="0088738F" w:rsidRDefault="00212A75" w:rsidP="00212A75">
      <w:pPr>
        <w:pStyle w:val="Telobesedila"/>
        <w:spacing w:before="3"/>
        <w:rPr>
          <w:bCs/>
          <w:color w:val="0070C0"/>
          <w:sz w:val="20"/>
          <w:szCs w:val="20"/>
        </w:rPr>
      </w:pPr>
    </w:p>
    <w:p w14:paraId="6BBC9C62" w14:textId="77777777" w:rsidR="00212A75" w:rsidRDefault="00212A75" w:rsidP="00212A75">
      <w:pPr>
        <w:pStyle w:val="Telobesedila"/>
        <w:spacing w:before="3"/>
        <w:rPr>
          <w:bCs/>
          <w:color w:val="0070C0"/>
          <w:sz w:val="20"/>
        </w:rPr>
      </w:pPr>
    </w:p>
    <w:p w14:paraId="4A743654" w14:textId="77777777" w:rsidR="0088738F" w:rsidRPr="0088738F" w:rsidRDefault="0088738F" w:rsidP="0088738F">
      <w:pPr>
        <w:pStyle w:val="Telobesedila"/>
        <w:numPr>
          <w:ilvl w:val="0"/>
          <w:numId w:val="1"/>
        </w:numPr>
        <w:spacing w:before="3"/>
        <w:ind w:hanging="720"/>
        <w:rPr>
          <w:bCs/>
          <w:color w:val="000000" w:themeColor="text1"/>
          <w:sz w:val="20"/>
          <w:szCs w:val="20"/>
        </w:rPr>
      </w:pPr>
      <w:r w:rsidRPr="0088738F">
        <w:rPr>
          <w:bCs/>
          <w:color w:val="000000" w:themeColor="text1"/>
          <w:sz w:val="20"/>
          <w:szCs w:val="20"/>
        </w:rPr>
        <w:t>Ali bo format poročanja v excelu (v priponki) ali bo predpisan kakšen drug format (npr. XML) ?</w:t>
      </w:r>
    </w:p>
    <w:p w14:paraId="675518D8" w14:textId="29B0CBEF" w:rsidR="0088738F" w:rsidRPr="0088738F" w:rsidRDefault="0088738F" w:rsidP="0088738F">
      <w:pPr>
        <w:pStyle w:val="Telobesedila"/>
        <w:spacing w:before="3"/>
        <w:rPr>
          <w:bCs/>
          <w:color w:val="0070C0"/>
          <w:sz w:val="20"/>
          <w:szCs w:val="20"/>
        </w:rPr>
      </w:pPr>
      <w:r w:rsidRPr="0088738F">
        <w:rPr>
          <w:bCs/>
          <w:color w:val="0070C0"/>
          <w:sz w:val="20"/>
          <w:szCs w:val="20"/>
          <w:u w:val="single"/>
        </w:rPr>
        <w:t>Odgovor BS</w:t>
      </w:r>
      <w:r w:rsidRPr="0088738F">
        <w:rPr>
          <w:bCs/>
          <w:color w:val="0070C0"/>
          <w:sz w:val="20"/>
          <w:szCs w:val="20"/>
        </w:rPr>
        <w:t xml:space="preserve">: Format poročanja Banki Slovenije bo xml. O tem smo med drugim vse poročevalce obvestili v </w:t>
      </w:r>
      <w:r w:rsidR="00111423">
        <w:rPr>
          <w:bCs/>
          <w:color w:val="0070C0"/>
          <w:sz w:val="20"/>
          <w:szCs w:val="20"/>
        </w:rPr>
        <w:t>sporočilu</w:t>
      </w:r>
      <w:r w:rsidRPr="0088738F">
        <w:rPr>
          <w:bCs/>
          <w:color w:val="0070C0"/>
          <w:sz w:val="20"/>
          <w:szCs w:val="20"/>
        </w:rPr>
        <w:t xml:space="preserve"> dne 8.9.2025.</w:t>
      </w:r>
    </w:p>
    <w:p w14:paraId="54916116" w14:textId="77777777" w:rsidR="0088738F" w:rsidRDefault="0088738F" w:rsidP="00212A75">
      <w:pPr>
        <w:pStyle w:val="Telobesedila"/>
        <w:spacing w:before="3"/>
        <w:rPr>
          <w:bCs/>
          <w:color w:val="0070C0"/>
          <w:sz w:val="20"/>
        </w:rPr>
      </w:pPr>
    </w:p>
    <w:p w14:paraId="4B62E175" w14:textId="77777777" w:rsidR="00F316BF" w:rsidRDefault="00F316BF" w:rsidP="00212A75">
      <w:pPr>
        <w:pStyle w:val="Telobesedila"/>
        <w:spacing w:before="3"/>
        <w:rPr>
          <w:bCs/>
          <w:color w:val="0070C0"/>
          <w:sz w:val="20"/>
        </w:rPr>
      </w:pPr>
    </w:p>
    <w:p w14:paraId="067AEFA3" w14:textId="77777777" w:rsidR="00F316BF" w:rsidRDefault="00F316BF" w:rsidP="00212A75">
      <w:pPr>
        <w:pStyle w:val="Telobesedila"/>
        <w:spacing w:before="3"/>
        <w:rPr>
          <w:bCs/>
          <w:color w:val="0070C0"/>
          <w:sz w:val="20"/>
        </w:rPr>
      </w:pPr>
    </w:p>
    <w:p w14:paraId="6CEC31B7" w14:textId="77777777" w:rsidR="00F316BF" w:rsidRDefault="00F316BF" w:rsidP="00F316BF">
      <w:pPr>
        <w:pStyle w:val="Telobesedila"/>
        <w:numPr>
          <w:ilvl w:val="0"/>
          <w:numId w:val="1"/>
        </w:numPr>
        <w:spacing w:before="3"/>
        <w:ind w:left="0" w:firstLine="0"/>
        <w:rPr>
          <w:bCs/>
          <w:color w:val="000000" w:themeColor="text1"/>
        </w:rPr>
      </w:pPr>
      <w:r w:rsidRPr="00F316BF">
        <w:rPr>
          <w:bCs/>
          <w:color w:val="000000" w:themeColor="text1"/>
        </w:rPr>
        <w:t>Posredujemo vam še dodatno vprašanje, ali v poročanje sodijo tudi kreditna plačila izvršena prek sistema TARGET2? Med vprašanji in odgovori smo zasledili, da se tovrstna plačila izločijo iz poročanja.</w:t>
      </w:r>
    </w:p>
    <w:p w14:paraId="45042EE5" w14:textId="77777777" w:rsidR="00F316BF" w:rsidRPr="00F316BF" w:rsidRDefault="00F316BF" w:rsidP="00F316BF">
      <w:pPr>
        <w:pStyle w:val="Telobesedila"/>
        <w:spacing w:before="3"/>
        <w:jc w:val="both"/>
        <w:rPr>
          <w:bCs/>
          <w:color w:val="0070C0"/>
          <w:sz w:val="20"/>
          <w:szCs w:val="20"/>
        </w:rPr>
      </w:pPr>
      <w:r w:rsidRPr="00F316BF">
        <w:rPr>
          <w:bCs/>
          <w:color w:val="0070C0"/>
          <w:sz w:val="20"/>
          <w:szCs w:val="20"/>
          <w:u w:val="single"/>
        </w:rPr>
        <w:t xml:space="preserve">Odgovor BS: </w:t>
      </w:r>
      <w:r w:rsidRPr="00F316BF">
        <w:rPr>
          <w:bCs/>
          <w:color w:val="0070C0"/>
          <w:sz w:val="20"/>
          <w:szCs w:val="20"/>
        </w:rPr>
        <w:t xml:space="preserve">Transakcije  v okviru T2 naj bi načeloma zajemale plačila med monetarnimi finančnimi institucijami in se kot take ne vključijo v podatke statistike plačil. </w:t>
      </w:r>
    </w:p>
    <w:p w14:paraId="4C87D98A" w14:textId="77777777" w:rsidR="00F316BF" w:rsidRPr="00F316BF" w:rsidRDefault="00F316BF" w:rsidP="00F316BF">
      <w:pPr>
        <w:pStyle w:val="Telobesedila"/>
        <w:spacing w:before="3"/>
        <w:jc w:val="both"/>
        <w:rPr>
          <w:bCs/>
          <w:color w:val="0070C0"/>
          <w:sz w:val="20"/>
          <w:szCs w:val="20"/>
        </w:rPr>
      </w:pPr>
      <w:r w:rsidRPr="00F316BF">
        <w:rPr>
          <w:bCs/>
          <w:color w:val="0070C0"/>
          <w:sz w:val="20"/>
          <w:szCs w:val="20"/>
        </w:rPr>
        <w:t>Transakcije v okviru plačilnega sistema T2 so v statistiko vključene le v primeru, če gre za plačila malih vrednosti v dobro ali breme ne-monetarne finančne institucije ("čista medbančna plačila pa so iz statistike izločena).</w:t>
      </w:r>
    </w:p>
    <w:p w14:paraId="7D5EDC24" w14:textId="77777777" w:rsidR="00F316BF" w:rsidRDefault="00F316BF" w:rsidP="00F316BF">
      <w:pPr>
        <w:pStyle w:val="Telobesedila"/>
        <w:spacing w:before="3"/>
        <w:rPr>
          <w:bCs/>
          <w:color w:val="0070C0"/>
          <w:szCs w:val="20"/>
          <w:u w:val="single"/>
        </w:rPr>
      </w:pPr>
    </w:p>
    <w:p w14:paraId="371DC717" w14:textId="77777777" w:rsidR="00F316BF" w:rsidRPr="00F316BF" w:rsidRDefault="00F316BF" w:rsidP="00F316BF">
      <w:pPr>
        <w:pStyle w:val="Telobesedila"/>
        <w:spacing w:before="3"/>
        <w:rPr>
          <w:b/>
          <w:bCs/>
          <w:color w:val="0070C0"/>
          <w:szCs w:val="20"/>
          <w:u w:val="single"/>
        </w:rPr>
      </w:pPr>
    </w:p>
    <w:p w14:paraId="6B72D4BA" w14:textId="0C6B8C7C" w:rsidR="00F316BF" w:rsidRDefault="00F316BF" w:rsidP="00F316BF">
      <w:pPr>
        <w:pStyle w:val="Telobesedila"/>
        <w:spacing w:before="3"/>
        <w:rPr>
          <w:bCs/>
          <w:color w:val="000000" w:themeColor="text1"/>
        </w:rPr>
      </w:pPr>
    </w:p>
    <w:p w14:paraId="58994262" w14:textId="77777777" w:rsidR="00F316BF" w:rsidRDefault="00F316BF" w:rsidP="00F316BF">
      <w:pPr>
        <w:pStyle w:val="Telobesedila"/>
        <w:spacing w:before="3"/>
        <w:rPr>
          <w:bCs/>
          <w:color w:val="000000" w:themeColor="text1"/>
        </w:rPr>
      </w:pPr>
    </w:p>
    <w:p w14:paraId="4820FC3A" w14:textId="77777777" w:rsidR="00F316BF" w:rsidRPr="00F316BF" w:rsidRDefault="00F316BF" w:rsidP="00AE3E32">
      <w:pPr>
        <w:pStyle w:val="Telobesedila"/>
        <w:spacing w:before="3"/>
        <w:jc w:val="both"/>
        <w:rPr>
          <w:bCs/>
          <w:color w:val="000000" w:themeColor="text1"/>
        </w:rPr>
      </w:pPr>
    </w:p>
    <w:p w14:paraId="250BF716" w14:textId="77777777" w:rsidR="00F316BF" w:rsidRDefault="00F316BF" w:rsidP="00212A75">
      <w:pPr>
        <w:pStyle w:val="Telobesedila"/>
        <w:spacing w:before="3"/>
        <w:rPr>
          <w:bCs/>
          <w:color w:val="0070C0"/>
          <w:sz w:val="20"/>
        </w:rPr>
      </w:pPr>
    </w:p>
    <w:sectPr w:rsidR="00F316BF" w:rsidSect="006A6E0A"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01832"/>
    <w:multiLevelType w:val="hybridMultilevel"/>
    <w:tmpl w:val="1C7C18B2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C3A60"/>
    <w:multiLevelType w:val="hybridMultilevel"/>
    <w:tmpl w:val="811C8E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64545"/>
    <w:multiLevelType w:val="hybridMultilevel"/>
    <w:tmpl w:val="150E031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762918">
    <w:abstractNumId w:val="2"/>
  </w:num>
  <w:num w:numId="2" w16cid:durableId="1700625257">
    <w:abstractNumId w:val="1"/>
  </w:num>
  <w:num w:numId="3" w16cid:durableId="6610099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8570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32885"/>
    <w:rsid w:val="000B00D7"/>
    <w:rsid w:val="00111423"/>
    <w:rsid w:val="0015302F"/>
    <w:rsid w:val="00181DA1"/>
    <w:rsid w:val="001A3A71"/>
    <w:rsid w:val="00212A75"/>
    <w:rsid w:val="00301D4F"/>
    <w:rsid w:val="00364186"/>
    <w:rsid w:val="003C76BA"/>
    <w:rsid w:val="004A013B"/>
    <w:rsid w:val="004B11FB"/>
    <w:rsid w:val="006205BC"/>
    <w:rsid w:val="0063409C"/>
    <w:rsid w:val="006A6E0A"/>
    <w:rsid w:val="006B1C8B"/>
    <w:rsid w:val="00732885"/>
    <w:rsid w:val="00771A0B"/>
    <w:rsid w:val="007C62F2"/>
    <w:rsid w:val="00815CCD"/>
    <w:rsid w:val="00855D6C"/>
    <w:rsid w:val="008615FE"/>
    <w:rsid w:val="0088738F"/>
    <w:rsid w:val="00931D69"/>
    <w:rsid w:val="0098387C"/>
    <w:rsid w:val="00AC4266"/>
    <w:rsid w:val="00AE3E32"/>
    <w:rsid w:val="00B87EEE"/>
    <w:rsid w:val="00B92A19"/>
    <w:rsid w:val="00BA2718"/>
    <w:rsid w:val="00C216CD"/>
    <w:rsid w:val="00CC0462"/>
    <w:rsid w:val="00E072A5"/>
    <w:rsid w:val="00E40EDF"/>
    <w:rsid w:val="00EF1619"/>
    <w:rsid w:val="00EF6575"/>
    <w:rsid w:val="00F316BF"/>
    <w:rsid w:val="00F34B8B"/>
    <w:rsid w:val="00FF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F0983"/>
  <w15:chartTrackingRefBased/>
  <w15:docId w15:val="{E016CAC3-CCB2-42A8-AA93-70BBEFCEC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71A0B"/>
    <w:pPr>
      <w:spacing w:after="0" w:line="240" w:lineRule="auto"/>
    </w:pPr>
  </w:style>
  <w:style w:type="paragraph" w:styleId="Naslov1">
    <w:name w:val="heading 1"/>
    <w:basedOn w:val="Navaden"/>
    <w:next w:val="Navaden"/>
    <w:link w:val="Naslov1Znak"/>
    <w:uiPriority w:val="1"/>
    <w:qFormat/>
    <w:rsid w:val="0098387C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6B1C8B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8387C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98387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98387C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301D4F"/>
    <w:pPr>
      <w:keepNext/>
      <w:keepLines/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01D4F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unhideWhenUsed/>
    <w:qFormat/>
    <w:rsid w:val="0063409C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slov9">
    <w:name w:val="heading 9"/>
    <w:basedOn w:val="Navaden"/>
    <w:next w:val="Navaden"/>
    <w:link w:val="Naslov9Znak"/>
    <w:uiPriority w:val="9"/>
    <w:unhideWhenUsed/>
    <w:qFormat/>
    <w:rsid w:val="0063409C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rsid w:val="00CC0462"/>
    <w:pPr>
      <w:spacing w:after="0" w:line="240" w:lineRule="auto"/>
    </w:pPr>
    <w:rPr>
      <w:rFonts w:ascii="Times New Roman" w:hAnsi="Times New Roman"/>
    </w:rPr>
  </w:style>
  <w:style w:type="character" w:customStyle="1" w:styleId="Naslov1Znak">
    <w:name w:val="Naslov 1 Znak"/>
    <w:basedOn w:val="Privzetapisavaodstavka"/>
    <w:link w:val="Naslov1"/>
    <w:uiPriority w:val="9"/>
    <w:rsid w:val="0098387C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8387C"/>
    <w:rPr>
      <w:rFonts w:ascii="Times New Roman" w:eastAsiaTheme="majorEastAsia" w:hAnsi="Times New Roman" w:cstheme="majorBidi"/>
      <w:b/>
      <w:bCs/>
      <w:color w:val="4F81BD" w:themeColor="accent1"/>
    </w:rPr>
  </w:style>
  <w:style w:type="character" w:customStyle="1" w:styleId="Naslov4Znak">
    <w:name w:val="Naslov 4 Znak"/>
    <w:basedOn w:val="Privzetapisavaodstavka"/>
    <w:link w:val="Naslov4"/>
    <w:uiPriority w:val="9"/>
    <w:rsid w:val="0098387C"/>
    <w:rPr>
      <w:rFonts w:ascii="Times New Roman" w:eastAsiaTheme="majorEastAsia" w:hAnsi="Times New Roman" w:cstheme="majorBidi"/>
      <w:b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rsid w:val="0098387C"/>
    <w:rPr>
      <w:rFonts w:ascii="Times New Roman" w:eastAsiaTheme="majorEastAsia" w:hAnsi="Times New Roman" w:cstheme="majorBidi"/>
      <w:color w:val="243F60" w:themeColor="accent1" w:themeShade="7F"/>
    </w:rPr>
  </w:style>
  <w:style w:type="character" w:customStyle="1" w:styleId="Naslov2Znak">
    <w:name w:val="Naslov 2 Znak"/>
    <w:basedOn w:val="Privzetapisavaodstavka"/>
    <w:link w:val="Naslov2"/>
    <w:uiPriority w:val="9"/>
    <w:rsid w:val="006B1C8B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character" w:customStyle="1" w:styleId="Naslov6Znak">
    <w:name w:val="Naslov 6 Znak"/>
    <w:basedOn w:val="Privzetapisavaodstavka"/>
    <w:link w:val="Naslov6"/>
    <w:uiPriority w:val="9"/>
    <w:rsid w:val="00301D4F"/>
    <w:rPr>
      <w:rFonts w:ascii="Times New Roman" w:eastAsiaTheme="majorEastAsia" w:hAnsi="Times New Roman" w:cstheme="majorBidi"/>
      <w:i/>
      <w:iCs/>
      <w:color w:val="243F60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01D4F"/>
    <w:rPr>
      <w:rFonts w:ascii="Times New Roman" w:eastAsiaTheme="majorEastAsia" w:hAnsi="Times New Roman" w:cstheme="majorBidi"/>
      <w:i/>
      <w:iCs/>
      <w:color w:val="404040" w:themeColor="text1" w:themeTint="BF"/>
    </w:rPr>
  </w:style>
  <w:style w:type="paragraph" w:styleId="Naslov">
    <w:name w:val="Title"/>
    <w:basedOn w:val="Navaden"/>
    <w:next w:val="Navaden"/>
    <w:link w:val="NaslovZnak"/>
    <w:uiPriority w:val="10"/>
    <w:qFormat/>
    <w:rsid w:val="00301D4F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301D4F"/>
    <w:rPr>
      <w:rFonts w:ascii="Times New Roman" w:eastAsiaTheme="majorEastAsia" w:hAnsi="Times New Roman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01D4F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301D4F"/>
    <w:rPr>
      <w:rFonts w:ascii="Times New Roman" w:eastAsiaTheme="majorEastAsia" w:hAnsi="Times New Roman" w:cstheme="majorBidi"/>
      <w:i/>
      <w:iCs/>
      <w:color w:val="4F81BD" w:themeColor="accent1"/>
      <w:spacing w:val="15"/>
      <w:sz w:val="24"/>
      <w:szCs w:val="24"/>
    </w:rPr>
  </w:style>
  <w:style w:type="character" w:customStyle="1" w:styleId="Naslov8Znak">
    <w:name w:val="Naslov 8 Znak"/>
    <w:basedOn w:val="Privzetapisavaodstavka"/>
    <w:link w:val="Naslov8"/>
    <w:uiPriority w:val="9"/>
    <w:rsid w:val="0063409C"/>
    <w:rPr>
      <w:rFonts w:ascii="Times New Roman" w:eastAsiaTheme="majorEastAsia" w:hAnsi="Times New Roman" w:cstheme="majorBidi"/>
      <w:color w:val="404040" w:themeColor="text1" w:themeTint="BF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rsid w:val="0063409C"/>
    <w:rPr>
      <w:rFonts w:ascii="Times New Roman" w:eastAsiaTheme="majorEastAsia" w:hAnsi="Times New Roman" w:cstheme="majorBidi"/>
      <w:i/>
      <w:iCs/>
      <w:color w:val="404040" w:themeColor="text1" w:themeTint="BF"/>
      <w:sz w:val="20"/>
      <w:szCs w:val="20"/>
    </w:rPr>
  </w:style>
  <w:style w:type="paragraph" w:styleId="Citat">
    <w:name w:val="Quote"/>
    <w:basedOn w:val="Navaden"/>
    <w:next w:val="Navaden"/>
    <w:link w:val="CitatZnak"/>
    <w:uiPriority w:val="29"/>
    <w:qFormat/>
    <w:rsid w:val="007328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732885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732885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732885"/>
    <w:rPr>
      <w:i/>
      <w:iCs/>
      <w:color w:val="365F9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3288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32885"/>
    <w:rPr>
      <w:i/>
      <w:iCs/>
      <w:color w:val="365F9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732885"/>
    <w:rPr>
      <w:b/>
      <w:bCs/>
      <w:smallCaps/>
      <w:color w:val="365F91" w:themeColor="accent1" w:themeShade="BF"/>
      <w:spacing w:val="5"/>
    </w:rPr>
  </w:style>
  <w:style w:type="paragraph" w:styleId="Telobesedila">
    <w:name w:val="Body Text"/>
    <w:basedOn w:val="Navaden"/>
    <w:link w:val="TelobesedilaZnak"/>
    <w:uiPriority w:val="1"/>
    <w:qFormat/>
    <w:rsid w:val="00732885"/>
    <w:pPr>
      <w:widowControl w:val="0"/>
      <w:autoSpaceDE w:val="0"/>
      <w:autoSpaceDN w:val="0"/>
    </w:pPr>
    <w:rPr>
      <w:rFonts w:eastAsia="Arial" w:cs="Arial"/>
      <w:sz w:val="22"/>
      <w:lang w:eastAsia="sl-SI" w:bidi="sl-SI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732885"/>
    <w:rPr>
      <w:rFonts w:eastAsia="Arial" w:cs="Arial"/>
      <w:sz w:val="22"/>
      <w:lang w:eastAsia="sl-SI" w:bidi="sl-SI"/>
    </w:rPr>
  </w:style>
  <w:style w:type="character" w:styleId="Hiperpovezava">
    <w:name w:val="Hyperlink"/>
    <w:basedOn w:val="Privzetapisavaodstavka"/>
    <w:uiPriority w:val="99"/>
    <w:unhideWhenUsed/>
    <w:rsid w:val="00FF58EE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F58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2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cid:image005.png@01DB82DE.EB13DE20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6CD2D7-B828-4CBF-A3B2-20C67B0D92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232937-01EE-4E72-8B87-4021DAF667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96F0AF-F3D7-4935-A4FB-4BE1002585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Banka Slovenije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 Fabro Delević Snježana</dc:creator>
  <cp:keywords/>
  <dc:description/>
  <cp:lastModifiedBy>Smonkar Srečko</cp:lastModifiedBy>
  <cp:revision>2</cp:revision>
  <dcterms:created xsi:type="dcterms:W3CDTF">2025-10-02T11:44:00Z</dcterms:created>
  <dcterms:modified xsi:type="dcterms:W3CDTF">2025-10-02T11:44:00Z</dcterms:modified>
</cp:coreProperties>
</file>