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7F99" w14:textId="77777777" w:rsidR="003D03CA" w:rsidRDefault="003D03CA" w:rsidP="003D03CA">
      <w:pPr>
        <w:pStyle w:val="zamik"/>
        <w:pBdr>
          <w:top w:val="none" w:sz="0" w:space="24" w:color="auto"/>
        </w:pBdr>
        <w:spacing w:after="210"/>
        <w:jc w:val="both"/>
        <w:rPr>
          <w:rFonts w:ascii="Arial" w:eastAsia="Arial" w:hAnsi="Arial" w:cs="Arial"/>
          <w:sz w:val="21"/>
          <w:szCs w:val="21"/>
        </w:rPr>
      </w:pPr>
      <w:proofErr w:type="spellStart"/>
      <w:r w:rsidRPr="003D03CA">
        <w:rPr>
          <w:rFonts w:ascii="Arial" w:eastAsia="Arial" w:hAnsi="Arial" w:cs="Arial"/>
          <w:sz w:val="21"/>
          <w:szCs w:val="21"/>
        </w:rPr>
        <w:t>Pursuant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to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Article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13(3)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Banking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Act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(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Official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Gazette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Republic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Slovenia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[Uradni list RS], Nos 92/21, 123/21 – ZBNIP, 2/25 –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Constitutional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Court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Decision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17/25;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hereinafter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: ZBan-3)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Article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31(1)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Bank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Slovenia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Act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(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Official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Gazette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Republic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Slovenia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, Nos 72/06 –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official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consolidated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version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, 59/11,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55/17),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Governing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Board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Bank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Slovenia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hereby issues the following</w:t>
      </w:r>
    </w:p>
    <w:p w14:paraId="64D2B143" w14:textId="77777777" w:rsidR="003D03CA" w:rsidRPr="003D03CA" w:rsidRDefault="003D03CA" w:rsidP="003D03CA">
      <w:pPr>
        <w:pStyle w:val="zamik"/>
        <w:pBdr>
          <w:top w:val="none" w:sz="0" w:space="24" w:color="auto"/>
        </w:pBdr>
        <w:spacing w:after="210"/>
        <w:jc w:val="both"/>
        <w:rPr>
          <w:rFonts w:ascii="Arial" w:eastAsia="Arial" w:hAnsi="Arial" w:cs="Arial"/>
          <w:sz w:val="21"/>
          <w:szCs w:val="21"/>
        </w:rPr>
      </w:pPr>
    </w:p>
    <w:p w14:paraId="1AD9DE6F" w14:textId="77777777" w:rsidR="003D03CA" w:rsidRDefault="003D03CA" w:rsidP="003D03CA">
      <w:pPr>
        <w:pStyle w:val="center"/>
        <w:spacing w:before="210" w:after="210"/>
        <w:rPr>
          <w:rFonts w:ascii="Arial" w:eastAsia="Arial" w:hAnsi="Arial" w:cs="Arial"/>
          <w:b/>
          <w:bCs/>
          <w:caps/>
          <w:sz w:val="21"/>
          <w:szCs w:val="21"/>
        </w:rPr>
      </w:pPr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DECISION</w:t>
      </w:r>
    </w:p>
    <w:p w14:paraId="169A4D2F" w14:textId="77777777" w:rsidR="003D03CA" w:rsidRDefault="003D03CA" w:rsidP="003D03CA">
      <w:pPr>
        <w:pStyle w:val="center"/>
        <w:spacing w:before="210" w:after="210"/>
      </w:pPr>
    </w:p>
    <w:p w14:paraId="6391292A" w14:textId="77777777" w:rsidR="003D03CA" w:rsidRPr="003D03CA" w:rsidRDefault="003D03CA" w:rsidP="003D03CA">
      <w:pPr>
        <w:pStyle w:val="center"/>
        <w:spacing w:before="210" w:after="210"/>
        <w:rPr>
          <w:rFonts w:ascii="Arial" w:eastAsia="Arial" w:hAnsi="Arial" w:cs="Arial"/>
          <w:b/>
          <w:bCs/>
          <w:caps/>
          <w:sz w:val="21"/>
          <w:szCs w:val="21"/>
        </w:rPr>
      </w:pPr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on the application of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Joint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EBA, EIOPA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ESMA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Guidelines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on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system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established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by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European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Supervisory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Authorities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for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exchange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information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relevant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to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assessment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fitness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propriety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holders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qualifying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holdings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,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directors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key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function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holders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financial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institutions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financial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market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participants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by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competent</w:t>
      </w:r>
      <w:proofErr w:type="spellEnd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caps/>
          <w:sz w:val="21"/>
          <w:szCs w:val="21"/>
        </w:rPr>
        <w:t>authorities</w:t>
      </w:r>
      <w:proofErr w:type="spellEnd"/>
    </w:p>
    <w:p w14:paraId="52E50F44" w14:textId="77777777" w:rsidR="003D03CA" w:rsidRDefault="003D03CA" w:rsidP="003D03CA"/>
    <w:p w14:paraId="388789D5" w14:textId="77777777" w:rsidR="003D03CA" w:rsidRPr="003D03CA" w:rsidRDefault="003D03CA" w:rsidP="003D03CA">
      <w:pPr>
        <w:pStyle w:val="center"/>
        <w:pBdr>
          <w:top w:val="none" w:sz="0" w:space="10" w:color="auto"/>
        </w:pBdr>
        <w:spacing w:before="210" w:after="210"/>
        <w:rPr>
          <w:rFonts w:ascii="Arial" w:eastAsia="Arial" w:hAnsi="Arial" w:cs="Arial"/>
          <w:b/>
          <w:bCs/>
          <w:sz w:val="21"/>
          <w:szCs w:val="21"/>
        </w:rPr>
      </w:pP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Article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1</w:t>
      </w:r>
    </w:p>
    <w:p w14:paraId="42BF79F5" w14:textId="77777777" w:rsidR="003D03CA" w:rsidRPr="003D03CA" w:rsidRDefault="003D03CA" w:rsidP="003D03CA">
      <w:pPr>
        <w:pStyle w:val="center"/>
        <w:pBdr>
          <w:top w:val="none" w:sz="0" w:space="10" w:color="auto"/>
        </w:pBdr>
        <w:spacing w:before="210" w:after="210"/>
        <w:rPr>
          <w:rFonts w:ascii="Arial" w:eastAsia="Arial" w:hAnsi="Arial" w:cs="Arial"/>
          <w:b/>
          <w:bCs/>
          <w:sz w:val="21"/>
          <w:szCs w:val="21"/>
        </w:rPr>
      </w:pPr>
      <w:r w:rsidRPr="003D03CA">
        <w:rPr>
          <w:rFonts w:ascii="Arial" w:eastAsia="Arial" w:hAnsi="Arial" w:cs="Arial"/>
          <w:b/>
          <w:bCs/>
          <w:sz w:val="21"/>
          <w:szCs w:val="21"/>
        </w:rPr>
        <w:t>(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Purpose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scope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application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Guidelines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>)</w:t>
      </w:r>
    </w:p>
    <w:p w14:paraId="46B69414" w14:textId="77777777" w:rsidR="003D03CA" w:rsidRDefault="003D03CA" w:rsidP="003D03CA"/>
    <w:p w14:paraId="655BA891" w14:textId="77777777" w:rsidR="003D03CA" w:rsidRPr="003D03CA" w:rsidRDefault="003D03CA" w:rsidP="003D03CA">
      <w:pPr>
        <w:pStyle w:val="zamik"/>
        <w:spacing w:before="210" w:after="210"/>
        <w:jc w:val="both"/>
        <w:rPr>
          <w:rFonts w:ascii="Arial" w:eastAsia="Arial" w:hAnsi="Arial" w:cs="Arial"/>
          <w:sz w:val="21"/>
          <w:szCs w:val="21"/>
        </w:rPr>
      </w:pPr>
      <w:r w:rsidRPr="003D03CA">
        <w:rPr>
          <w:rFonts w:ascii="Arial" w:eastAsia="Arial" w:hAnsi="Arial" w:cs="Arial"/>
          <w:sz w:val="21"/>
          <w:szCs w:val="21"/>
        </w:rPr>
        <w:t xml:space="preserve">(1)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Pursuant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to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Article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16(1)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Regulation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(EU) No 1093/2010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European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Parliament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Council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24 November 2010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establishing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European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Supervisory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Authority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(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European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Banking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Authority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),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amending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Decision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No 716/2009/EC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repealing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Commission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Decision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2009/78/EC (OJ L 331, 15.12.2010, p. 12;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hereinafter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: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Regulation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(EU) No 1093/2010),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European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Banking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Authority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published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on 17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February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2025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Joint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Guidelines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on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system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established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by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ESAs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for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exchange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information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relevant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to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assessment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fitness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propriety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holders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qualifying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holdings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directors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key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function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holders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financial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institutions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financial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market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participants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by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competent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authorities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(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hereinafter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: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Joint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Guidelines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) on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its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website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>.</w:t>
      </w:r>
    </w:p>
    <w:p w14:paraId="33FA1F58" w14:textId="77777777" w:rsidR="003D03CA" w:rsidRPr="003D03CA" w:rsidRDefault="003D03CA" w:rsidP="003D03CA">
      <w:pPr>
        <w:pStyle w:val="zamik"/>
        <w:spacing w:before="210" w:after="210"/>
        <w:jc w:val="both"/>
        <w:rPr>
          <w:rFonts w:ascii="Arial" w:eastAsia="Arial" w:hAnsi="Arial" w:cs="Arial"/>
          <w:sz w:val="21"/>
          <w:szCs w:val="21"/>
        </w:rPr>
      </w:pPr>
      <w:r w:rsidRPr="003D03CA">
        <w:rPr>
          <w:rFonts w:ascii="Arial" w:eastAsia="Arial" w:hAnsi="Arial" w:cs="Arial"/>
          <w:sz w:val="21"/>
          <w:szCs w:val="21"/>
        </w:rPr>
        <w:t xml:space="preserve">(2) The purpose of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Joint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Guidelines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is to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establish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consistent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efficient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effective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supervisory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practices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within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European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System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Financial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Supervision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(ESFS)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to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ensure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common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, uniform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consistent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application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Union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law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regarding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use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system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established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by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European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Supervisory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Authorities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for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exchange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information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between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competent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authorities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relevant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to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assessment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fitness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propriety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holders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qualifying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holdings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directors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key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function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holders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financial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institutions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financial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market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participants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in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accordance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with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legal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acts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referred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to in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Article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1(2)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founding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Regulations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>.</w:t>
      </w:r>
    </w:p>
    <w:p w14:paraId="6B562632" w14:textId="77777777" w:rsidR="003D03CA" w:rsidRPr="003D03CA" w:rsidRDefault="003D03CA" w:rsidP="003D03CA">
      <w:pPr>
        <w:pStyle w:val="zamik"/>
        <w:spacing w:before="210" w:after="210"/>
        <w:jc w:val="both"/>
        <w:rPr>
          <w:rFonts w:ascii="Arial" w:eastAsia="Arial" w:hAnsi="Arial" w:cs="Arial"/>
          <w:sz w:val="21"/>
          <w:szCs w:val="21"/>
        </w:rPr>
      </w:pPr>
      <w:r w:rsidRPr="003D03CA">
        <w:rPr>
          <w:rFonts w:ascii="Arial" w:eastAsia="Arial" w:hAnsi="Arial" w:cs="Arial"/>
          <w:sz w:val="21"/>
          <w:szCs w:val="21"/>
        </w:rPr>
        <w:t xml:space="preserve">(3) The Joint Guidelines are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addressed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to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competent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authorities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as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defined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in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Article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4(2)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Regulation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(EU) No 1093/2010 [1]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Regulation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(EU) No 1094/2010 [2],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Article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4(3)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Regulation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(EU) No 1095/2010 [3].</w:t>
      </w:r>
    </w:p>
    <w:p w14:paraId="630437AF" w14:textId="77777777" w:rsidR="003D03CA" w:rsidRDefault="003D03CA" w:rsidP="003D03CA"/>
    <w:p w14:paraId="7B9E581C" w14:textId="77777777" w:rsidR="003D03CA" w:rsidRDefault="003D03CA" w:rsidP="003D03CA">
      <w:pPr>
        <w:pStyle w:val="center"/>
        <w:pBdr>
          <w:top w:val="none" w:sz="0" w:space="10" w:color="auto"/>
        </w:pBdr>
        <w:spacing w:before="210" w:after="210"/>
        <w:rPr>
          <w:rFonts w:ascii="Arial" w:eastAsia="Arial" w:hAnsi="Arial" w:cs="Arial"/>
          <w:b/>
          <w:bCs/>
          <w:sz w:val="21"/>
          <w:szCs w:val="21"/>
        </w:rPr>
      </w:pPr>
    </w:p>
    <w:p w14:paraId="190C397D" w14:textId="77777777" w:rsidR="003D03CA" w:rsidRDefault="003D03CA" w:rsidP="003D03CA">
      <w:pPr>
        <w:pStyle w:val="center"/>
        <w:pBdr>
          <w:top w:val="none" w:sz="0" w:space="10" w:color="auto"/>
        </w:pBdr>
        <w:spacing w:before="210" w:after="210"/>
        <w:rPr>
          <w:rFonts w:ascii="Arial" w:eastAsia="Arial" w:hAnsi="Arial" w:cs="Arial"/>
          <w:b/>
          <w:bCs/>
          <w:sz w:val="21"/>
          <w:szCs w:val="21"/>
        </w:rPr>
      </w:pPr>
    </w:p>
    <w:p w14:paraId="33D92797" w14:textId="04A71639" w:rsidR="003D03CA" w:rsidRPr="003D03CA" w:rsidRDefault="003D03CA" w:rsidP="003D03CA">
      <w:pPr>
        <w:pStyle w:val="center"/>
        <w:pBdr>
          <w:top w:val="none" w:sz="0" w:space="10" w:color="auto"/>
        </w:pBdr>
        <w:spacing w:before="210" w:after="210"/>
        <w:rPr>
          <w:rFonts w:ascii="Arial" w:eastAsia="Arial" w:hAnsi="Arial" w:cs="Arial"/>
          <w:b/>
          <w:bCs/>
          <w:sz w:val="21"/>
          <w:szCs w:val="21"/>
        </w:rPr>
      </w:pPr>
      <w:r w:rsidRPr="003D03CA">
        <w:rPr>
          <w:rFonts w:ascii="Arial" w:eastAsia="Arial" w:hAnsi="Arial" w:cs="Arial"/>
          <w:b/>
          <w:bCs/>
          <w:sz w:val="21"/>
          <w:szCs w:val="21"/>
        </w:rPr>
        <w:t>Article 2</w:t>
      </w:r>
    </w:p>
    <w:p w14:paraId="2CD09EBA" w14:textId="77777777" w:rsidR="003D03CA" w:rsidRDefault="003D03CA" w:rsidP="003D03CA">
      <w:pPr>
        <w:pStyle w:val="center"/>
        <w:pBdr>
          <w:top w:val="none" w:sz="0" w:space="10" w:color="auto"/>
        </w:pBdr>
        <w:spacing w:before="210" w:after="210"/>
      </w:pPr>
      <w:r w:rsidRPr="003D03CA">
        <w:rPr>
          <w:rFonts w:ascii="Arial" w:eastAsia="Arial" w:hAnsi="Arial" w:cs="Arial"/>
          <w:b/>
          <w:bCs/>
          <w:sz w:val="21"/>
          <w:szCs w:val="21"/>
        </w:rPr>
        <w:t>(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Subject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matter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Decision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scope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application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Guidelines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>)</w:t>
      </w:r>
    </w:p>
    <w:p w14:paraId="5A661B5D" w14:textId="77777777" w:rsidR="003D03CA" w:rsidRDefault="003D03CA" w:rsidP="003D03CA"/>
    <w:p w14:paraId="1A3497CD" w14:textId="77777777" w:rsidR="003D03CA" w:rsidRPr="003D03CA" w:rsidRDefault="003D03CA" w:rsidP="003D03CA">
      <w:pPr>
        <w:pStyle w:val="zamik"/>
        <w:spacing w:before="210" w:after="210"/>
        <w:jc w:val="both"/>
        <w:rPr>
          <w:rFonts w:ascii="Arial" w:eastAsia="Arial" w:hAnsi="Arial" w:cs="Arial"/>
          <w:sz w:val="21"/>
          <w:szCs w:val="21"/>
        </w:rPr>
      </w:pPr>
      <w:r w:rsidRPr="003D03CA">
        <w:rPr>
          <w:rFonts w:ascii="Arial" w:eastAsia="Arial" w:hAnsi="Arial" w:cs="Arial"/>
          <w:sz w:val="21"/>
          <w:szCs w:val="21"/>
        </w:rPr>
        <w:t xml:space="preserve">(1)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By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means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this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Decision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Bank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Slovenia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determines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application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Guidelines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all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future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amendments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thereto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unless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Bank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Slovenia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decides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otherwise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in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respect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particular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amendment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for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>:</w:t>
      </w:r>
    </w:p>
    <w:p w14:paraId="0027F5B5" w14:textId="7822F41F" w:rsidR="003D03CA" w:rsidRPr="003D03CA" w:rsidRDefault="003D03CA" w:rsidP="003D03CA">
      <w:pPr>
        <w:pStyle w:val="zamik"/>
        <w:numPr>
          <w:ilvl w:val="0"/>
          <w:numId w:val="1"/>
        </w:numPr>
        <w:spacing w:before="210" w:after="210"/>
        <w:jc w:val="both"/>
        <w:rPr>
          <w:rFonts w:ascii="Arial" w:eastAsia="Arial" w:hAnsi="Arial" w:cs="Arial"/>
          <w:sz w:val="21"/>
          <w:szCs w:val="21"/>
        </w:rPr>
      </w:pPr>
      <w:r w:rsidRPr="003D03CA">
        <w:rPr>
          <w:rFonts w:ascii="Arial" w:eastAsia="Arial" w:hAnsi="Arial" w:cs="Arial"/>
          <w:sz w:val="21"/>
          <w:szCs w:val="21"/>
        </w:rPr>
        <w:t xml:space="preserve">The Bank of Slovenia,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when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exercising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its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powers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tasks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supervision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over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banks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in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its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capacity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as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competent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authority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in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accordance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with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act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governing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banking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>.</w:t>
      </w:r>
    </w:p>
    <w:p w14:paraId="49C9C802" w14:textId="77777777" w:rsidR="003D03CA" w:rsidRPr="003D03CA" w:rsidRDefault="003D03CA" w:rsidP="003D03CA">
      <w:pPr>
        <w:pStyle w:val="zamik"/>
        <w:spacing w:before="210" w:after="210"/>
        <w:jc w:val="both"/>
        <w:rPr>
          <w:rFonts w:ascii="Arial" w:eastAsia="Arial" w:hAnsi="Arial" w:cs="Arial"/>
          <w:sz w:val="21"/>
          <w:szCs w:val="21"/>
        </w:rPr>
      </w:pPr>
      <w:r w:rsidRPr="003D03CA">
        <w:rPr>
          <w:rFonts w:ascii="Arial" w:eastAsia="Arial" w:hAnsi="Arial" w:cs="Arial"/>
          <w:sz w:val="21"/>
          <w:szCs w:val="21"/>
        </w:rPr>
        <w:t xml:space="preserve">(2) In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fulfilling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its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obligations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under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Joint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Guidelines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Bank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Slovenia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shall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use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information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system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European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Supervisory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Authorities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>.</w:t>
      </w:r>
    </w:p>
    <w:p w14:paraId="00F37DCD" w14:textId="77777777" w:rsidR="003D03CA" w:rsidRPr="003D03CA" w:rsidRDefault="003D03CA" w:rsidP="003D03CA">
      <w:pPr>
        <w:pStyle w:val="center"/>
        <w:pBdr>
          <w:top w:val="none" w:sz="0" w:space="10" w:color="auto"/>
        </w:pBdr>
        <w:spacing w:before="210" w:after="210"/>
        <w:rPr>
          <w:rFonts w:ascii="Arial" w:eastAsia="Arial" w:hAnsi="Arial" w:cs="Arial"/>
          <w:b/>
          <w:bCs/>
          <w:sz w:val="21"/>
          <w:szCs w:val="21"/>
        </w:rPr>
      </w:pPr>
      <w:r w:rsidRPr="003D03CA">
        <w:rPr>
          <w:rFonts w:ascii="Arial" w:eastAsia="Arial" w:hAnsi="Arial" w:cs="Arial"/>
          <w:b/>
          <w:bCs/>
          <w:sz w:val="21"/>
          <w:szCs w:val="21"/>
        </w:rPr>
        <w:t>Article 3</w:t>
      </w:r>
    </w:p>
    <w:p w14:paraId="182DDB9F" w14:textId="77777777" w:rsidR="003D03CA" w:rsidRPr="003D03CA" w:rsidRDefault="003D03CA" w:rsidP="003D03CA">
      <w:pPr>
        <w:pStyle w:val="center"/>
        <w:pBdr>
          <w:top w:val="none" w:sz="0" w:space="10" w:color="auto"/>
        </w:pBdr>
        <w:spacing w:before="210" w:after="210"/>
        <w:rPr>
          <w:rFonts w:ascii="Arial" w:eastAsia="Arial" w:hAnsi="Arial" w:cs="Arial"/>
          <w:b/>
          <w:bCs/>
          <w:sz w:val="21"/>
          <w:szCs w:val="21"/>
        </w:rPr>
      </w:pPr>
      <w:r w:rsidRPr="003D03CA">
        <w:rPr>
          <w:rFonts w:ascii="Arial" w:eastAsia="Arial" w:hAnsi="Arial" w:cs="Arial"/>
          <w:b/>
          <w:bCs/>
          <w:sz w:val="21"/>
          <w:szCs w:val="21"/>
        </w:rPr>
        <w:t>(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Entry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into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b/>
          <w:bCs/>
          <w:sz w:val="21"/>
          <w:szCs w:val="21"/>
        </w:rPr>
        <w:t>force</w:t>
      </w:r>
      <w:proofErr w:type="spellEnd"/>
      <w:r w:rsidRPr="003D03CA">
        <w:rPr>
          <w:rFonts w:ascii="Arial" w:eastAsia="Arial" w:hAnsi="Arial" w:cs="Arial"/>
          <w:b/>
          <w:bCs/>
          <w:sz w:val="21"/>
          <w:szCs w:val="21"/>
        </w:rPr>
        <w:t>)</w:t>
      </w:r>
    </w:p>
    <w:p w14:paraId="1ED00271" w14:textId="77777777" w:rsidR="003D03CA" w:rsidRPr="003D03CA" w:rsidRDefault="003D03CA" w:rsidP="003D03CA">
      <w:pPr>
        <w:pStyle w:val="zamik"/>
        <w:spacing w:before="210" w:after="210"/>
        <w:jc w:val="both"/>
        <w:rPr>
          <w:rFonts w:ascii="Arial" w:eastAsia="Arial" w:hAnsi="Arial" w:cs="Arial"/>
          <w:sz w:val="21"/>
          <w:szCs w:val="21"/>
        </w:rPr>
      </w:pPr>
      <w:r w:rsidRPr="003D03CA">
        <w:rPr>
          <w:rFonts w:ascii="Arial" w:eastAsia="Arial" w:hAnsi="Arial" w:cs="Arial"/>
          <w:sz w:val="21"/>
          <w:szCs w:val="21"/>
        </w:rPr>
        <w:t xml:space="preserve">This Decision shall enter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into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force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on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day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following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its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publication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in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Official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Gazette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Republic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Slovenia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and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shall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apply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from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22 April 2025.</w:t>
      </w:r>
    </w:p>
    <w:p w14:paraId="2CFA5A8B" w14:textId="77777777" w:rsidR="003D03CA" w:rsidRPr="003D03CA" w:rsidRDefault="003D03CA" w:rsidP="003D03CA">
      <w:pPr>
        <w:pStyle w:val="zamik"/>
        <w:spacing w:before="210" w:after="210"/>
        <w:jc w:val="both"/>
        <w:rPr>
          <w:rFonts w:ascii="Arial" w:eastAsia="Arial" w:hAnsi="Arial" w:cs="Arial"/>
          <w:sz w:val="21"/>
          <w:szCs w:val="21"/>
        </w:rPr>
      </w:pPr>
    </w:p>
    <w:p w14:paraId="1B704C25" w14:textId="77777777" w:rsidR="003D03CA" w:rsidRDefault="003D03CA" w:rsidP="003D03CA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</w:rPr>
      </w:pPr>
      <w:r w:rsidRPr="003D03CA">
        <w:rPr>
          <w:rFonts w:ascii="Arial" w:eastAsia="Arial" w:hAnsi="Arial" w:cs="Arial"/>
          <w:sz w:val="21"/>
          <w:szCs w:val="21"/>
        </w:rPr>
        <w:t>Ljubljana, 17 April 2025</w:t>
      </w:r>
    </w:p>
    <w:p w14:paraId="59089CB6" w14:textId="77777777" w:rsidR="003D03CA" w:rsidRDefault="003D03CA" w:rsidP="003D03CA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</w:rPr>
      </w:pPr>
    </w:p>
    <w:p w14:paraId="164A10CA" w14:textId="77777777" w:rsidR="003D03CA" w:rsidRPr="003D03CA" w:rsidRDefault="003D03CA" w:rsidP="003D03CA">
      <w:pPr>
        <w:pStyle w:val="zamik"/>
        <w:spacing w:before="210" w:after="210"/>
        <w:ind w:firstLine="0"/>
        <w:jc w:val="both"/>
        <w:rPr>
          <w:rFonts w:ascii="Arial" w:eastAsia="Arial" w:hAnsi="Arial" w:cs="Arial"/>
          <w:sz w:val="21"/>
          <w:szCs w:val="21"/>
        </w:rPr>
      </w:pPr>
    </w:p>
    <w:p w14:paraId="3E25E7C5" w14:textId="77777777" w:rsidR="003D03CA" w:rsidRPr="003D03CA" w:rsidRDefault="003D03CA" w:rsidP="003D03CA">
      <w:pPr>
        <w:pStyle w:val="zamik"/>
        <w:ind w:left="5529" w:firstLine="0"/>
        <w:jc w:val="center"/>
        <w:rPr>
          <w:rFonts w:ascii="Arial" w:eastAsia="Arial" w:hAnsi="Arial" w:cs="Arial"/>
          <w:sz w:val="21"/>
          <w:szCs w:val="21"/>
        </w:rPr>
      </w:pPr>
    </w:p>
    <w:p w14:paraId="4F3934DD" w14:textId="77777777" w:rsidR="003D03CA" w:rsidRPr="003D03CA" w:rsidRDefault="003D03CA" w:rsidP="003D03CA">
      <w:pPr>
        <w:pStyle w:val="zamik"/>
        <w:ind w:left="5529" w:firstLine="0"/>
        <w:jc w:val="center"/>
        <w:rPr>
          <w:rFonts w:ascii="Arial" w:eastAsia="Arial" w:hAnsi="Arial" w:cs="Arial"/>
          <w:sz w:val="21"/>
          <w:szCs w:val="21"/>
        </w:rPr>
      </w:pPr>
      <w:r w:rsidRPr="003D03CA">
        <w:rPr>
          <w:rFonts w:ascii="Arial" w:eastAsia="Arial" w:hAnsi="Arial" w:cs="Arial"/>
          <w:sz w:val="21"/>
          <w:szCs w:val="21"/>
        </w:rPr>
        <w:t>Primož Dolenc</w:t>
      </w:r>
    </w:p>
    <w:p w14:paraId="60ADDE98" w14:textId="77777777" w:rsidR="003D03CA" w:rsidRPr="003D03CA" w:rsidRDefault="003D03CA" w:rsidP="003D03CA">
      <w:pPr>
        <w:pStyle w:val="zamik"/>
        <w:ind w:left="5529" w:firstLine="0"/>
        <w:jc w:val="center"/>
        <w:rPr>
          <w:rFonts w:ascii="Arial" w:eastAsia="Arial" w:hAnsi="Arial" w:cs="Arial"/>
          <w:sz w:val="21"/>
          <w:szCs w:val="21"/>
        </w:rPr>
      </w:pPr>
      <w:proofErr w:type="spellStart"/>
      <w:r w:rsidRPr="003D03CA">
        <w:rPr>
          <w:rFonts w:ascii="Arial" w:eastAsia="Arial" w:hAnsi="Arial" w:cs="Arial"/>
          <w:sz w:val="21"/>
          <w:szCs w:val="21"/>
        </w:rPr>
        <w:t>Deputy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President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Governing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Board</w:t>
      </w:r>
      <w:proofErr w:type="spellEnd"/>
    </w:p>
    <w:p w14:paraId="09416508" w14:textId="77777777" w:rsidR="003D03CA" w:rsidRPr="003D03CA" w:rsidRDefault="003D03CA" w:rsidP="003D03CA">
      <w:pPr>
        <w:pStyle w:val="zamik"/>
        <w:ind w:left="5529" w:firstLine="0"/>
        <w:jc w:val="center"/>
        <w:rPr>
          <w:rFonts w:ascii="Arial" w:eastAsia="Arial" w:hAnsi="Arial" w:cs="Arial"/>
          <w:sz w:val="21"/>
          <w:szCs w:val="21"/>
        </w:rPr>
      </w:pP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the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Bank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of</w:t>
      </w:r>
      <w:proofErr w:type="spellEnd"/>
      <w:r w:rsidRPr="003D03C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3D03CA">
        <w:rPr>
          <w:rFonts w:ascii="Arial" w:eastAsia="Arial" w:hAnsi="Arial" w:cs="Arial"/>
          <w:sz w:val="21"/>
          <w:szCs w:val="21"/>
        </w:rPr>
        <w:t>Slovenia</w:t>
      </w:r>
      <w:proofErr w:type="spellEnd"/>
    </w:p>
    <w:p w14:paraId="2CCDA864" w14:textId="77777777" w:rsidR="003D03CA" w:rsidRDefault="003D03CA" w:rsidP="003D03CA"/>
    <w:p w14:paraId="0E9E76F0" w14:textId="77777777" w:rsidR="003D03CA" w:rsidRDefault="003D03CA" w:rsidP="003D03CA"/>
    <w:p w14:paraId="39F70CA2" w14:textId="77777777" w:rsidR="003D03CA" w:rsidRDefault="003D03CA" w:rsidP="003D03CA"/>
    <w:p w14:paraId="53DF737E" w14:textId="77777777" w:rsidR="003D03CA" w:rsidRDefault="003D03CA" w:rsidP="003D03CA"/>
    <w:p w14:paraId="4A135ABA" w14:textId="77777777" w:rsidR="003D03CA" w:rsidRDefault="003D03CA" w:rsidP="003D03CA"/>
    <w:p w14:paraId="5DAD5C22" w14:textId="77777777" w:rsidR="003D03CA" w:rsidRDefault="003D03CA" w:rsidP="003D03CA"/>
    <w:p w14:paraId="4A9F37AD" w14:textId="77777777" w:rsidR="003D03CA" w:rsidRDefault="003D03CA" w:rsidP="003D03CA"/>
    <w:p w14:paraId="6685FFDD" w14:textId="77777777" w:rsidR="003D03CA" w:rsidRDefault="003D03CA" w:rsidP="003D03CA"/>
    <w:p w14:paraId="7F513B26" w14:textId="77777777" w:rsidR="003D03CA" w:rsidRDefault="003D03CA" w:rsidP="003D03CA"/>
    <w:p w14:paraId="2C91505A" w14:textId="77777777" w:rsidR="003D03CA" w:rsidRDefault="003D03CA" w:rsidP="003D03CA"/>
    <w:p w14:paraId="5239CBF8" w14:textId="77777777" w:rsidR="003D03CA" w:rsidRDefault="003D03CA" w:rsidP="003D03CA"/>
    <w:p w14:paraId="68C1DEEA" w14:textId="5DC463E9" w:rsidR="003D03CA" w:rsidRDefault="003D03CA" w:rsidP="003D03CA">
      <w:r>
        <w:t xml:space="preserve">[1] </w:t>
      </w:r>
      <w:proofErr w:type="spellStart"/>
      <w:r>
        <w:t>Regulation</w:t>
      </w:r>
      <w:proofErr w:type="spellEnd"/>
      <w:r>
        <w:t xml:space="preserve"> (EU) No 1093/2010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Parliament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24 November 2010 </w:t>
      </w:r>
      <w:proofErr w:type="spellStart"/>
      <w:r>
        <w:t>establishing</w:t>
      </w:r>
      <w:proofErr w:type="spellEnd"/>
      <w:r>
        <w:t xml:space="preserve"> a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Supervisory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Banking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>).</w:t>
      </w:r>
    </w:p>
    <w:p w14:paraId="3EB2C66F" w14:textId="77777777" w:rsidR="003D03CA" w:rsidRDefault="003D03CA" w:rsidP="003D03CA"/>
    <w:p w14:paraId="7091A7FF" w14:textId="77777777" w:rsidR="003D03CA" w:rsidRDefault="003D03CA" w:rsidP="003D03CA">
      <w:r>
        <w:lastRenderedPageBreak/>
        <w:t xml:space="preserve">[2] </w:t>
      </w:r>
      <w:proofErr w:type="spellStart"/>
      <w:r>
        <w:t>Regulation</w:t>
      </w:r>
      <w:proofErr w:type="spellEnd"/>
      <w:r>
        <w:t xml:space="preserve"> (EU) No 1094/2010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Parliament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24 November 2010 </w:t>
      </w:r>
      <w:proofErr w:type="spellStart"/>
      <w:r>
        <w:t>establishing</w:t>
      </w:r>
      <w:proofErr w:type="spellEnd"/>
      <w:r>
        <w:t xml:space="preserve"> a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Supervisory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Pensions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>).</w:t>
      </w:r>
    </w:p>
    <w:p w14:paraId="42ABE23C" w14:textId="77777777" w:rsidR="003D03CA" w:rsidRDefault="003D03CA" w:rsidP="003D03CA"/>
    <w:p w14:paraId="6EA42A30" w14:textId="1EE6DE8B" w:rsidR="001A3A71" w:rsidRDefault="003D03CA" w:rsidP="003D03CA">
      <w:r>
        <w:t xml:space="preserve">[3] </w:t>
      </w:r>
      <w:proofErr w:type="spellStart"/>
      <w:r>
        <w:t>Regulation</w:t>
      </w:r>
      <w:proofErr w:type="spellEnd"/>
      <w:r>
        <w:t xml:space="preserve"> (EU) No 1095/2010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Parliament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24 November 2010 </w:t>
      </w:r>
      <w:proofErr w:type="spellStart"/>
      <w:r>
        <w:t>establishing</w:t>
      </w:r>
      <w:proofErr w:type="spellEnd"/>
      <w:r>
        <w:t xml:space="preserve"> a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Supervisory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Securities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>).</w:t>
      </w:r>
    </w:p>
    <w:sectPr w:rsidR="001A3A71" w:rsidSect="001A3A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1F30" w14:textId="77777777" w:rsidR="003D03CA" w:rsidRDefault="003D03CA" w:rsidP="003D03CA">
      <w:r>
        <w:separator/>
      </w:r>
    </w:p>
  </w:endnote>
  <w:endnote w:type="continuationSeparator" w:id="0">
    <w:p w14:paraId="2927CCE8" w14:textId="77777777" w:rsidR="003D03CA" w:rsidRDefault="003D03CA" w:rsidP="003D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C9ED" w14:textId="77777777" w:rsidR="003D03CA" w:rsidRDefault="003D03CA" w:rsidP="003D03CA">
      <w:r>
        <w:separator/>
      </w:r>
    </w:p>
  </w:footnote>
  <w:footnote w:type="continuationSeparator" w:id="0">
    <w:p w14:paraId="449CC5D4" w14:textId="77777777" w:rsidR="003D03CA" w:rsidRDefault="003D03CA" w:rsidP="003D0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C380" w14:textId="77777777" w:rsidR="003D03CA" w:rsidRDefault="003D03CA" w:rsidP="003D03CA">
    <w:pPr>
      <w:pStyle w:val="Glava"/>
      <w:jc w:val="center"/>
      <w:rPr>
        <w:b/>
        <w:noProof/>
        <w:lang w:val="en-GB"/>
      </w:rPr>
    </w:pPr>
    <w:r>
      <w:rPr>
        <w:b/>
        <w:noProof/>
        <w:lang w:val="en-GB"/>
      </w:rPr>
      <w:t>THIS TEXT IS UNOFFICIAL TRANSLATION AND MAY NOT BE USED AS A BASIS FOR</w:t>
    </w:r>
  </w:p>
  <w:p w14:paraId="5F4DE2C9" w14:textId="77777777" w:rsidR="003D03CA" w:rsidRDefault="003D03CA" w:rsidP="003D03CA">
    <w:pPr>
      <w:pStyle w:val="Noga"/>
      <w:tabs>
        <w:tab w:val="left" w:pos="708"/>
      </w:tabs>
      <w:jc w:val="center"/>
      <w:rPr>
        <w:b/>
        <w:noProof/>
        <w:lang w:val="en-GB"/>
      </w:rPr>
    </w:pPr>
    <w:r>
      <w:rPr>
        <w:b/>
        <w:noProof/>
        <w:lang w:val="en-GB"/>
      </w:rPr>
      <w:t>SOLVING ANY DISPUTE</w:t>
    </w:r>
  </w:p>
  <w:p w14:paraId="34D3F970" w14:textId="77777777" w:rsidR="003D03CA" w:rsidRDefault="003D03CA" w:rsidP="003D03CA">
    <w:pPr>
      <w:pStyle w:val="Noga"/>
      <w:tabs>
        <w:tab w:val="left" w:pos="708"/>
      </w:tabs>
      <w:jc w:val="center"/>
      <w:rPr>
        <w:b/>
        <w:noProof/>
        <w:lang w:val="en-GB"/>
      </w:rPr>
    </w:pPr>
  </w:p>
  <w:p w14:paraId="28AC4C4B" w14:textId="77777777" w:rsidR="003D03CA" w:rsidRDefault="003D03CA" w:rsidP="003D03CA">
    <w:pPr>
      <w:jc w:val="both"/>
      <w:rPr>
        <w:szCs w:val="24"/>
        <w:lang w:val="en-GB"/>
      </w:rPr>
    </w:pPr>
  </w:p>
  <w:p w14:paraId="07B35E4A" w14:textId="6600A921" w:rsidR="003D03CA" w:rsidRPr="003D03CA" w:rsidRDefault="003D03CA" w:rsidP="003D03CA">
    <w:pPr>
      <w:jc w:val="both"/>
      <w:rPr>
        <w:szCs w:val="24"/>
      </w:rPr>
    </w:pPr>
    <w:r w:rsidRPr="003D03CA">
      <w:rPr>
        <w:szCs w:val="24"/>
        <w:lang w:val="en-GB"/>
      </w:rPr>
      <w:t xml:space="preserve">Official Gazette of the Republic of Slovenia, No. </w:t>
    </w:r>
    <w:r>
      <w:rPr>
        <w:szCs w:val="24"/>
        <w:lang w:val="en-GB"/>
      </w:rPr>
      <w:t>26</w:t>
    </w:r>
    <w:r w:rsidRPr="003D03CA">
      <w:rPr>
        <w:szCs w:val="24"/>
        <w:lang w:val="en-GB"/>
      </w:rPr>
      <w:t>/</w:t>
    </w:r>
    <w:r>
      <w:rPr>
        <w:szCs w:val="24"/>
        <w:lang w:val="en-GB"/>
      </w:rPr>
      <w:t>25</w:t>
    </w:r>
    <w:r w:rsidRPr="003D03CA">
      <w:rPr>
        <w:szCs w:val="24"/>
        <w:lang w:val="en-GB"/>
      </w:rPr>
      <w:t xml:space="preserve"> of 18 </w:t>
    </w:r>
    <w:r>
      <w:rPr>
        <w:szCs w:val="24"/>
        <w:lang w:val="en-GB"/>
      </w:rPr>
      <w:t>April</w:t>
    </w:r>
    <w:r w:rsidRPr="003D03CA">
      <w:rPr>
        <w:szCs w:val="24"/>
        <w:lang w:val="en-GB"/>
      </w:rPr>
      <w:t xml:space="preserve"> 20</w:t>
    </w:r>
    <w:r>
      <w:rPr>
        <w:szCs w:val="24"/>
        <w:lang w:val="en-GB"/>
      </w:rPr>
      <w:t>25</w:t>
    </w:r>
    <w:r w:rsidRPr="003D03CA">
      <w:rPr>
        <w:szCs w:val="24"/>
        <w:lang w:val="en-GB"/>
      </w:rPr>
      <w:t xml:space="preserve"> (in force as of </w:t>
    </w:r>
    <w:r>
      <w:rPr>
        <w:szCs w:val="24"/>
        <w:lang w:val="en-GB"/>
      </w:rPr>
      <w:t>19</w:t>
    </w:r>
    <w:r w:rsidRPr="003D03CA">
      <w:rPr>
        <w:szCs w:val="24"/>
        <w:lang w:val="en-GB"/>
      </w:rPr>
      <w:t xml:space="preserve"> </w:t>
    </w:r>
    <w:r>
      <w:rPr>
        <w:szCs w:val="24"/>
        <w:lang w:val="en-GB"/>
      </w:rPr>
      <w:t>April</w:t>
    </w:r>
    <w:r w:rsidRPr="003D03CA">
      <w:rPr>
        <w:szCs w:val="24"/>
        <w:lang w:val="en-GB"/>
      </w:rPr>
      <w:t xml:space="preserve"> 20</w:t>
    </w:r>
    <w:r>
      <w:rPr>
        <w:szCs w:val="24"/>
        <w:lang w:val="en-GB"/>
      </w:rPr>
      <w:t>25</w:t>
    </w:r>
    <w:r w:rsidRPr="003D03CA">
      <w:rPr>
        <w:szCs w:val="24"/>
        <w:lang w:val="en-GB"/>
      </w:rPr>
      <w:t>)</w:t>
    </w:r>
  </w:p>
  <w:p w14:paraId="199F19F4" w14:textId="77777777" w:rsidR="003D03CA" w:rsidRDefault="003D03CA" w:rsidP="003D03CA">
    <w:pPr>
      <w:pStyle w:val="Noga"/>
      <w:tabs>
        <w:tab w:val="left" w:pos="708"/>
      </w:tabs>
      <w:jc w:val="center"/>
      <w:rPr>
        <w:noProof/>
      </w:rPr>
    </w:pPr>
  </w:p>
  <w:p w14:paraId="789F26FA" w14:textId="77777777" w:rsidR="003D03CA" w:rsidRDefault="003D03C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04013"/>
    <w:multiLevelType w:val="hybridMultilevel"/>
    <w:tmpl w:val="B122087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FB3B16"/>
    <w:multiLevelType w:val="hybridMultilevel"/>
    <w:tmpl w:val="50342E7A"/>
    <w:lvl w:ilvl="0" w:tplc="6CC4F486">
      <w:start w:val="1"/>
      <w:numFmt w:val="decimal"/>
      <w:lvlText w:val="%1."/>
      <w:lvlJc w:val="left"/>
      <w:pPr>
        <w:ind w:left="1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1" w:hanging="360"/>
      </w:pPr>
    </w:lvl>
    <w:lvl w:ilvl="2" w:tplc="0424001B" w:tentative="1">
      <w:start w:val="1"/>
      <w:numFmt w:val="lowerRoman"/>
      <w:lvlText w:val="%3."/>
      <w:lvlJc w:val="right"/>
      <w:pPr>
        <w:ind w:left="3061" w:hanging="180"/>
      </w:pPr>
    </w:lvl>
    <w:lvl w:ilvl="3" w:tplc="0424000F" w:tentative="1">
      <w:start w:val="1"/>
      <w:numFmt w:val="decimal"/>
      <w:lvlText w:val="%4."/>
      <w:lvlJc w:val="left"/>
      <w:pPr>
        <w:ind w:left="3781" w:hanging="360"/>
      </w:pPr>
    </w:lvl>
    <w:lvl w:ilvl="4" w:tplc="04240019" w:tentative="1">
      <w:start w:val="1"/>
      <w:numFmt w:val="lowerLetter"/>
      <w:lvlText w:val="%5."/>
      <w:lvlJc w:val="left"/>
      <w:pPr>
        <w:ind w:left="4501" w:hanging="360"/>
      </w:pPr>
    </w:lvl>
    <w:lvl w:ilvl="5" w:tplc="0424001B" w:tentative="1">
      <w:start w:val="1"/>
      <w:numFmt w:val="lowerRoman"/>
      <w:lvlText w:val="%6."/>
      <w:lvlJc w:val="right"/>
      <w:pPr>
        <w:ind w:left="5221" w:hanging="180"/>
      </w:pPr>
    </w:lvl>
    <w:lvl w:ilvl="6" w:tplc="0424000F" w:tentative="1">
      <w:start w:val="1"/>
      <w:numFmt w:val="decimal"/>
      <w:lvlText w:val="%7."/>
      <w:lvlJc w:val="left"/>
      <w:pPr>
        <w:ind w:left="5941" w:hanging="360"/>
      </w:pPr>
    </w:lvl>
    <w:lvl w:ilvl="7" w:tplc="04240019" w:tentative="1">
      <w:start w:val="1"/>
      <w:numFmt w:val="lowerLetter"/>
      <w:lvlText w:val="%8."/>
      <w:lvlJc w:val="left"/>
      <w:pPr>
        <w:ind w:left="6661" w:hanging="360"/>
      </w:pPr>
    </w:lvl>
    <w:lvl w:ilvl="8" w:tplc="0424001B" w:tentative="1">
      <w:start w:val="1"/>
      <w:numFmt w:val="lowerRoman"/>
      <w:lvlText w:val="%9."/>
      <w:lvlJc w:val="right"/>
      <w:pPr>
        <w:ind w:left="7381" w:hanging="180"/>
      </w:pPr>
    </w:lvl>
  </w:abstractNum>
  <w:num w:numId="1" w16cid:durableId="279923487">
    <w:abstractNumId w:val="1"/>
  </w:num>
  <w:num w:numId="2" w16cid:durableId="103253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03CA"/>
    <w:rsid w:val="0015302F"/>
    <w:rsid w:val="001A3A71"/>
    <w:rsid w:val="00301D4F"/>
    <w:rsid w:val="003C76BA"/>
    <w:rsid w:val="003D03CA"/>
    <w:rsid w:val="006205BC"/>
    <w:rsid w:val="0063409C"/>
    <w:rsid w:val="006B1C8B"/>
    <w:rsid w:val="00771A0B"/>
    <w:rsid w:val="007C62F2"/>
    <w:rsid w:val="00815CCD"/>
    <w:rsid w:val="0098387C"/>
    <w:rsid w:val="00B87EEE"/>
    <w:rsid w:val="00BA2718"/>
    <w:rsid w:val="00CC0462"/>
    <w:rsid w:val="00D26803"/>
    <w:rsid w:val="00EF1619"/>
    <w:rsid w:val="00EF6575"/>
    <w:rsid w:val="00F3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A96C"/>
  <w15:chartTrackingRefBased/>
  <w15:docId w15:val="{C31152D7-03DD-4B74-85D5-9096B05A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1A0B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3D03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D03C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D03C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D03CA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D03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D03CA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D03CA"/>
    <w:rPr>
      <w:b/>
      <w:bCs/>
      <w:smallCaps/>
      <w:color w:val="365F91" w:themeColor="accent1" w:themeShade="BF"/>
      <w:spacing w:val="5"/>
    </w:rPr>
  </w:style>
  <w:style w:type="paragraph" w:customStyle="1" w:styleId="zamik">
    <w:name w:val="zamik"/>
    <w:basedOn w:val="Navaden"/>
    <w:rsid w:val="003D03CA"/>
    <w:pPr>
      <w:ind w:firstLine="102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enter">
    <w:name w:val="center"/>
    <w:basedOn w:val="Navaden"/>
    <w:rsid w:val="003D03CA"/>
    <w:pPr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styleId="Glava">
    <w:name w:val="header"/>
    <w:basedOn w:val="Navaden"/>
    <w:link w:val="GlavaZnak"/>
    <w:unhideWhenUsed/>
    <w:rsid w:val="003D03C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D03CA"/>
  </w:style>
  <w:style w:type="paragraph" w:styleId="Noga">
    <w:name w:val="footer"/>
    <w:basedOn w:val="Navaden"/>
    <w:link w:val="NogaZnak"/>
    <w:uiPriority w:val="99"/>
    <w:unhideWhenUsed/>
    <w:rsid w:val="003D03C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D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606</Words>
  <Characters>3460</Characters>
  <Application>Microsoft Office Word</Application>
  <DocSecurity>0</DocSecurity>
  <Lines>28</Lines>
  <Paragraphs>8</Paragraphs>
  <ScaleCrop>false</ScaleCrop>
  <Company>Banka Slovenije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Smajić Jan</dc:creator>
  <cp:keywords/>
  <dc:description/>
  <cp:lastModifiedBy>Smajić Jan</cp:lastModifiedBy>
  <cp:revision>1</cp:revision>
  <dcterms:created xsi:type="dcterms:W3CDTF">2026-03-10T16:00:00Z</dcterms:created>
  <dcterms:modified xsi:type="dcterms:W3CDTF">2026-03-10T16:09:00Z</dcterms:modified>
</cp:coreProperties>
</file>